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420370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3"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2" w:lineRule="exact"/>
        <w:rPr>
          <w:sz w:val="24"/>
          <w:szCs w:val="24"/>
          <w:color w:val="auto"/>
        </w:rPr>
      </w:pPr>
    </w:p>
    <w:p>
      <w:pPr>
        <w:ind w:left="4929"/>
        <w:spacing w:after="0"/>
        <w:rPr>
          <w:sz w:val="20"/>
          <w:szCs w:val="20"/>
          <w:color w:val="auto"/>
        </w:rPr>
      </w:pPr>
      <w:r>
        <w:rPr>
          <w:rFonts w:ascii="Arial" w:cs="Arial" w:eastAsia="Arial" w:hAnsi="Arial"/>
          <w:sz w:val="14"/>
          <w:szCs w:val="14"/>
          <w:color w:val="auto"/>
        </w:rPr>
        <w:t>__________________</w:t>
      </w:r>
    </w:p>
    <w:p>
      <w:pPr>
        <w:spacing w:after="0" w:line="10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6" w:lineRule="exact"/>
        <w:rPr>
          <w:sz w:val="24"/>
          <w:szCs w:val="24"/>
          <w:color w:val="auto"/>
        </w:rPr>
      </w:pPr>
    </w:p>
    <w:p>
      <w:pPr>
        <w:ind w:left="4929"/>
        <w:spacing w:after="0"/>
        <w:rPr>
          <w:sz w:val="20"/>
          <w:szCs w:val="20"/>
          <w:color w:val="auto"/>
        </w:rPr>
      </w:pPr>
      <w:r>
        <w:rPr>
          <w:rFonts w:ascii="Arial" w:cs="Arial" w:eastAsia="Arial" w:hAnsi="Arial"/>
          <w:sz w:val="14"/>
          <w:szCs w:val="14"/>
          <w:color w:val="auto"/>
        </w:rPr>
        <w:t>__________________</w:t>
      </w:r>
    </w:p>
    <w:p>
      <w:pPr>
        <w:spacing w:after="0" w:line="120"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27"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32"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May 6, 2026</w:t>
      </w:r>
    </w:p>
    <w:p>
      <w:pPr>
        <w:spacing w:after="0" w:line="21" w:lineRule="exact"/>
        <w:rPr>
          <w:sz w:val="24"/>
          <w:szCs w:val="24"/>
          <w:color w:val="auto"/>
        </w:rPr>
      </w:pPr>
    </w:p>
    <w:p>
      <w:pPr>
        <w:ind w:left="4929"/>
        <w:spacing w:after="0"/>
        <w:rPr>
          <w:sz w:val="20"/>
          <w:szCs w:val="20"/>
          <w:color w:val="auto"/>
        </w:rPr>
      </w:pPr>
      <w:r>
        <w:rPr>
          <w:rFonts w:ascii="Arial" w:cs="Arial" w:eastAsia="Arial" w:hAnsi="Arial"/>
          <w:sz w:val="14"/>
          <w:szCs w:val="14"/>
          <w:color w:val="auto"/>
        </w:rPr>
        <w:t>__________________</w:t>
      </w:r>
    </w:p>
    <w:p>
      <w:pPr>
        <w:spacing w:after="0" w:line="105"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2"/>
          <w:szCs w:val="22"/>
          <w:b w:val="1"/>
          <w:bCs w:val="1"/>
          <w:color w:val="auto"/>
        </w:rPr>
        <w:t>AMETEK, Inc.</w:t>
      </w:r>
    </w:p>
    <w:p>
      <w:pPr>
        <w:spacing w:after="0" w:line="24"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p>
      <w:pPr>
        <w:ind w:left="4929"/>
        <w:spacing w:after="0"/>
        <w:rPr>
          <w:sz w:val="20"/>
          <w:szCs w:val="20"/>
          <w:color w:val="auto"/>
        </w:rPr>
      </w:pPr>
      <w:r>
        <w:rPr>
          <w:rFonts w:ascii="Arial" w:cs="Arial" w:eastAsia="Arial" w:hAnsi="Arial"/>
          <w:sz w:val="14"/>
          <w:szCs w:val="14"/>
          <w:color w:val="auto"/>
        </w:rPr>
        <w:t>__________________</w:t>
      </w:r>
    </w:p>
    <w:p>
      <w:pPr>
        <w:spacing w:after="0" w:line="156" w:lineRule="exact"/>
        <w:rPr>
          <w:sz w:val="24"/>
          <w:szCs w:val="24"/>
          <w:color w:val="auto"/>
        </w:rPr>
      </w:pPr>
    </w:p>
    <w:tbl>
      <w:tblPr>
        <w:tblLayout w:type="fixed"/>
        <w:tblInd w:w="1649" w:type="dxa"/>
        <w:tblCellMar>
          <w:top w:w="0" w:type="dxa"/>
          <w:left w:w="0" w:type="dxa"/>
          <w:bottom w:w="0" w:type="dxa"/>
          <w:right w:w="0" w:type="dxa"/>
        </w:tblCellMar>
      </w:tblPr>
      <w:tr>
        <w:trPr>
          <w:trHeight w:val="159"/>
        </w:trPr>
        <w:tc>
          <w:tcPr>
            <w:tcW w:w="2080" w:type="dxa"/>
            <w:vAlign w:val="bottom"/>
          </w:tcPr>
          <w:p>
            <w:pPr>
              <w:jc w:val="center"/>
              <w:ind w:right="426"/>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100" w:type="dxa"/>
            <w:vAlign w:val="bottom"/>
          </w:tcPr>
          <w:p>
            <w:pPr>
              <w:jc w:val="center"/>
              <w:ind w:right="88"/>
              <w:spacing w:after="0"/>
              <w:rPr>
                <w:sz w:val="20"/>
                <w:szCs w:val="20"/>
                <w:color w:val="auto"/>
              </w:rPr>
            </w:pPr>
            <w:r>
              <w:rPr>
                <w:rFonts w:ascii="Times New Roman" w:cs="Times New Roman" w:eastAsia="Times New Roman" w:hAnsi="Times New Roman"/>
                <w:sz w:val="12"/>
                <w:szCs w:val="12"/>
                <w:b w:val="1"/>
                <w:bCs w:val="1"/>
                <w:color w:val="auto"/>
                <w:w w:val="99"/>
              </w:rPr>
              <w:t>1-12981</w:t>
            </w:r>
          </w:p>
        </w:tc>
        <w:tc>
          <w:tcPr>
            <w:tcW w:w="1460" w:type="dxa"/>
            <w:vAlign w:val="bottom"/>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14-1682544</w:t>
            </w:r>
          </w:p>
        </w:tc>
      </w:tr>
      <w:tr>
        <w:trPr>
          <w:trHeight w:val="110"/>
        </w:trPr>
        <w:tc>
          <w:tcPr>
            <w:tcW w:w="2080" w:type="dxa"/>
            <w:vAlign w:val="bottom"/>
          </w:tcPr>
          <w:p>
            <w:pPr>
              <w:jc w:val="center"/>
              <w:ind w:right="426"/>
              <w:spacing w:after="0" w:line="110" w:lineRule="exact"/>
              <w:rPr>
                <w:sz w:val="20"/>
                <w:szCs w:val="20"/>
                <w:color w:val="auto"/>
              </w:rPr>
            </w:pPr>
            <w:r>
              <w:rPr>
                <w:rFonts w:ascii="Times New Roman" w:cs="Times New Roman" w:eastAsia="Times New Roman" w:hAnsi="Times New Roman"/>
                <w:sz w:val="10"/>
                <w:szCs w:val="10"/>
                <w:b w:val="1"/>
                <w:bCs w:val="1"/>
                <w:color w:val="auto"/>
                <w:w w:val="94"/>
              </w:rPr>
              <w:t>(State or other jurisdiction</w:t>
            </w:r>
          </w:p>
        </w:tc>
        <w:tc>
          <w:tcPr>
            <w:tcW w:w="4100" w:type="dxa"/>
            <w:vAlign w:val="bottom"/>
          </w:tcPr>
          <w:p>
            <w:pPr>
              <w:jc w:val="center"/>
              <w:ind w:right="68"/>
              <w:spacing w:after="0" w:line="110" w:lineRule="exact"/>
              <w:rPr>
                <w:sz w:val="20"/>
                <w:szCs w:val="20"/>
                <w:color w:val="auto"/>
              </w:rPr>
            </w:pPr>
            <w:r>
              <w:rPr>
                <w:rFonts w:ascii="Times New Roman" w:cs="Times New Roman" w:eastAsia="Times New Roman" w:hAnsi="Times New Roman"/>
                <w:sz w:val="10"/>
                <w:szCs w:val="10"/>
                <w:b w:val="1"/>
                <w:bCs w:val="1"/>
                <w:color w:val="auto"/>
                <w:w w:val="96"/>
              </w:rPr>
              <w:t>(Commission</w:t>
            </w:r>
          </w:p>
        </w:tc>
        <w:tc>
          <w:tcPr>
            <w:tcW w:w="1460" w:type="dxa"/>
            <w:vAlign w:val="bottom"/>
          </w:tcPr>
          <w:p>
            <w:pPr>
              <w:jc w:val="center"/>
              <w:ind w:left="667"/>
              <w:spacing w:after="0" w:line="110" w:lineRule="exact"/>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2080" w:type="dxa"/>
            <w:vAlign w:val="bottom"/>
          </w:tcPr>
          <w:p>
            <w:pPr>
              <w:jc w:val="center"/>
              <w:ind w:right="426"/>
              <w:spacing w:after="0"/>
              <w:rPr>
                <w:sz w:val="20"/>
                <w:szCs w:val="20"/>
                <w:color w:val="auto"/>
              </w:rPr>
            </w:pPr>
            <w:r>
              <w:rPr>
                <w:rFonts w:ascii="Times New Roman" w:cs="Times New Roman" w:eastAsia="Times New Roman" w:hAnsi="Times New Roman"/>
                <w:sz w:val="10"/>
                <w:szCs w:val="10"/>
                <w:b w:val="1"/>
                <w:bCs w:val="1"/>
                <w:color w:val="auto"/>
                <w:w w:val="98"/>
              </w:rPr>
              <w:t>of incorporation)</w:t>
            </w:r>
          </w:p>
        </w:tc>
        <w:tc>
          <w:tcPr>
            <w:tcW w:w="4100" w:type="dxa"/>
            <w:vAlign w:val="bottom"/>
          </w:tcPr>
          <w:p>
            <w:pPr>
              <w:jc w:val="center"/>
              <w:ind w:right="68"/>
              <w:spacing w:after="0"/>
              <w:rPr>
                <w:sz w:val="20"/>
                <w:szCs w:val="20"/>
                <w:color w:val="auto"/>
              </w:rPr>
            </w:pPr>
            <w:r>
              <w:rPr>
                <w:rFonts w:ascii="Times New Roman" w:cs="Times New Roman" w:eastAsia="Times New Roman" w:hAnsi="Times New Roman"/>
                <w:sz w:val="10"/>
                <w:szCs w:val="10"/>
                <w:b w:val="1"/>
                <w:bCs w:val="1"/>
                <w:color w:val="auto"/>
                <w:w w:val="93"/>
              </w:rPr>
              <w:t>File Number)</w:t>
            </w:r>
          </w:p>
        </w:tc>
        <w:tc>
          <w:tcPr>
            <w:tcW w:w="1460" w:type="dxa"/>
            <w:vAlign w:val="bottom"/>
          </w:tcPr>
          <w:p>
            <w:pPr>
              <w:jc w:val="center"/>
              <w:ind w:left="667"/>
              <w:spacing w:after="0"/>
              <w:rPr>
                <w:sz w:val="20"/>
                <w:szCs w:val="20"/>
                <w:color w:val="auto"/>
              </w:rPr>
            </w:pPr>
            <w:r>
              <w:rPr>
                <w:rFonts w:ascii="Times New Roman" w:cs="Times New Roman" w:eastAsia="Times New Roman" w:hAnsi="Times New Roman"/>
                <w:sz w:val="10"/>
                <w:szCs w:val="10"/>
                <w:b w:val="1"/>
                <w:bCs w:val="1"/>
                <w:color w:val="auto"/>
                <w:w w:val="94"/>
              </w:rPr>
              <w:t>Identification No.)</w:t>
            </w:r>
          </w:p>
        </w:tc>
      </w:tr>
      <w:tr>
        <w:trPr>
          <w:trHeight w:val="332"/>
        </w:trPr>
        <w:tc>
          <w:tcPr>
            <w:tcW w:w="2080" w:type="dxa"/>
            <w:vAlign w:val="bottom"/>
          </w:tcPr>
          <w:p>
            <w:pPr>
              <w:jc w:val="center"/>
              <w:ind w:right="426"/>
              <w:spacing w:after="0"/>
              <w:rPr>
                <w:sz w:val="20"/>
                <w:szCs w:val="20"/>
                <w:color w:val="auto"/>
              </w:rPr>
            </w:pPr>
            <w:r>
              <w:rPr>
                <w:rFonts w:ascii="Times New Roman" w:cs="Times New Roman" w:eastAsia="Times New Roman" w:hAnsi="Times New Roman"/>
                <w:sz w:val="12"/>
                <w:szCs w:val="12"/>
                <w:b w:val="1"/>
                <w:bCs w:val="1"/>
                <w:color w:val="auto"/>
              </w:rPr>
              <w:t>1100 Cassatt Road</w:t>
            </w:r>
          </w:p>
        </w:tc>
        <w:tc>
          <w:tcPr>
            <w:tcW w:w="4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1"/>
        </w:trPr>
        <w:tc>
          <w:tcPr>
            <w:tcW w:w="20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Berwyn, Pennsylvania</w:t>
            </w:r>
          </w:p>
        </w:tc>
        <w:tc>
          <w:tcPr>
            <w:tcW w:w="4100" w:type="dxa"/>
            <w:vAlign w:val="bottom"/>
          </w:tcPr>
          <w:p>
            <w:pPr>
              <w:spacing w:after="0"/>
              <w:rPr>
                <w:sz w:val="16"/>
                <w:szCs w:val="16"/>
                <w:color w:val="auto"/>
              </w:rPr>
            </w:pPr>
          </w:p>
        </w:tc>
        <w:tc>
          <w:tcPr>
            <w:tcW w:w="1460" w:type="dxa"/>
            <w:vAlign w:val="bottom"/>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rPr>
              <w:t>19312</w:t>
            </w:r>
          </w:p>
        </w:tc>
      </w:tr>
      <w:tr>
        <w:trPr>
          <w:trHeight w:val="125"/>
        </w:trPr>
        <w:tc>
          <w:tcPr>
            <w:tcW w:w="2080" w:type="dxa"/>
            <w:vAlign w:val="bottom"/>
          </w:tcPr>
          <w:p>
            <w:pPr>
              <w:jc w:val="center"/>
              <w:ind w:right="426"/>
              <w:spacing w:after="0"/>
              <w:rPr>
                <w:sz w:val="20"/>
                <w:szCs w:val="20"/>
                <w:color w:val="auto"/>
              </w:rPr>
            </w:pPr>
            <w:r>
              <w:rPr>
                <w:rFonts w:ascii="Times New Roman" w:cs="Times New Roman" w:eastAsia="Times New Roman" w:hAnsi="Times New Roman"/>
                <w:sz w:val="10"/>
                <w:szCs w:val="10"/>
                <w:b w:val="1"/>
                <w:bCs w:val="1"/>
                <w:color w:val="auto"/>
                <w:w w:val="96"/>
              </w:rPr>
              <w:t>(Address of principal executive offices)</w:t>
            </w:r>
          </w:p>
        </w:tc>
        <w:tc>
          <w:tcPr>
            <w:tcW w:w="4100" w:type="dxa"/>
            <w:vAlign w:val="bottom"/>
          </w:tcPr>
          <w:p>
            <w:pPr>
              <w:spacing w:after="0"/>
              <w:rPr>
                <w:sz w:val="10"/>
                <w:szCs w:val="10"/>
                <w:color w:val="auto"/>
              </w:rPr>
            </w:pPr>
          </w:p>
        </w:tc>
        <w:tc>
          <w:tcPr>
            <w:tcW w:w="1460" w:type="dxa"/>
            <w:vAlign w:val="bottom"/>
          </w:tcPr>
          <w:p>
            <w:pPr>
              <w:jc w:val="center"/>
              <w:ind w:left="667"/>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r>
        <w:trPr>
          <w:trHeight w:val="278"/>
        </w:trPr>
        <w:tc>
          <w:tcPr>
            <w:tcW w:w="2080" w:type="dxa"/>
            <w:vAlign w:val="bottom"/>
          </w:tcPr>
          <w:p>
            <w:pPr>
              <w:spacing w:after="0"/>
              <w:rPr>
                <w:sz w:val="24"/>
                <w:szCs w:val="24"/>
                <w:color w:val="auto"/>
              </w:rPr>
            </w:pPr>
          </w:p>
        </w:tc>
        <w:tc>
          <w:tcPr>
            <w:tcW w:w="4100" w:type="dxa"/>
            <w:vAlign w:val="bottom"/>
          </w:tcPr>
          <w:p>
            <w:pPr>
              <w:jc w:val="center"/>
              <w:ind w:right="208"/>
              <w:spacing w:after="0"/>
              <w:rPr>
                <w:sz w:val="20"/>
                <w:szCs w:val="20"/>
                <w:color w:val="auto"/>
              </w:rPr>
            </w:pPr>
            <w:r>
              <w:rPr>
                <w:rFonts w:ascii="Times New Roman" w:cs="Times New Roman" w:eastAsia="Times New Roman" w:hAnsi="Times New Roman"/>
                <w:sz w:val="10"/>
                <w:szCs w:val="10"/>
                <w:b w:val="1"/>
                <w:bCs w:val="1"/>
                <w:color w:val="auto"/>
                <w:w w:val="98"/>
              </w:rPr>
              <w:t xml:space="preserve">Registrant’s telephone number, including area code: </w:t>
            </w:r>
            <w:r>
              <w:rPr>
                <w:rFonts w:ascii="Times New Roman" w:cs="Times New Roman" w:eastAsia="Times New Roman" w:hAnsi="Times New Roman"/>
                <w:sz w:val="11"/>
                <w:szCs w:val="11"/>
                <w:b w:val="1"/>
                <w:bCs w:val="1"/>
                <w:color w:val="auto"/>
                <w:w w:val="98"/>
              </w:rPr>
              <w:t>(610) 647-2121</w:t>
            </w:r>
          </w:p>
        </w:tc>
        <w:tc>
          <w:tcPr>
            <w:tcW w:w="1460" w:type="dxa"/>
            <w:vAlign w:val="bottom"/>
          </w:tcPr>
          <w:p>
            <w:pPr>
              <w:spacing w:after="0"/>
              <w:rPr>
                <w:sz w:val="24"/>
                <w:szCs w:val="24"/>
                <w:color w:val="auto"/>
              </w:rPr>
            </w:pPr>
          </w:p>
        </w:tc>
      </w:tr>
      <w:tr>
        <w:trPr>
          <w:trHeight w:val="245"/>
        </w:trPr>
        <w:tc>
          <w:tcPr>
            <w:tcW w:w="2080" w:type="dxa"/>
            <w:vAlign w:val="bottom"/>
          </w:tcPr>
          <w:p>
            <w:pPr>
              <w:spacing w:after="0"/>
              <w:rPr>
                <w:sz w:val="21"/>
                <w:szCs w:val="21"/>
                <w:color w:val="auto"/>
              </w:rPr>
            </w:pPr>
          </w:p>
        </w:tc>
        <w:tc>
          <w:tcPr>
            <w:tcW w:w="4100" w:type="dxa"/>
            <w:vAlign w:val="bottom"/>
          </w:tcPr>
          <w:p>
            <w:pPr>
              <w:jc w:val="center"/>
              <w:ind w:right="208"/>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1460" w:type="dxa"/>
            <w:vAlign w:val="bottom"/>
          </w:tcPr>
          <w:p>
            <w:pPr>
              <w:spacing w:after="0"/>
              <w:rPr>
                <w:sz w:val="21"/>
                <w:szCs w:val="21"/>
                <w:color w:val="auto"/>
              </w:rPr>
            </w:pPr>
          </w:p>
        </w:tc>
      </w:tr>
      <w:tr>
        <w:trPr>
          <w:trHeight w:val="125"/>
        </w:trPr>
        <w:tc>
          <w:tcPr>
            <w:tcW w:w="2080" w:type="dxa"/>
            <w:vAlign w:val="bottom"/>
          </w:tcPr>
          <w:p>
            <w:pPr>
              <w:spacing w:after="0"/>
              <w:rPr>
                <w:sz w:val="10"/>
                <w:szCs w:val="10"/>
                <w:color w:val="auto"/>
              </w:rPr>
            </w:pPr>
          </w:p>
        </w:tc>
        <w:tc>
          <w:tcPr>
            <w:tcW w:w="4100" w:type="dxa"/>
            <w:vAlign w:val="bottom"/>
          </w:tcPr>
          <w:p>
            <w:pPr>
              <w:jc w:val="center"/>
              <w:ind w:right="188"/>
              <w:spacing w:after="0"/>
              <w:rPr>
                <w:sz w:val="20"/>
                <w:szCs w:val="20"/>
                <w:color w:val="auto"/>
              </w:rPr>
            </w:pPr>
            <w:r>
              <w:rPr>
                <w:rFonts w:ascii="Times New Roman" w:cs="Times New Roman" w:eastAsia="Times New Roman" w:hAnsi="Times New Roman"/>
                <w:sz w:val="10"/>
                <w:szCs w:val="10"/>
                <w:b w:val="1"/>
                <w:bCs w:val="1"/>
                <w:color w:val="auto"/>
                <w:w w:val="95"/>
              </w:rPr>
              <w:t>(Former name or former address, if changed since last report)</w:t>
            </w:r>
          </w:p>
        </w:tc>
        <w:tc>
          <w:tcPr>
            <w:tcW w:w="1460" w:type="dxa"/>
            <w:vAlign w:val="bottom"/>
          </w:tcPr>
          <w:p>
            <w:pPr>
              <w:spacing w:after="0"/>
              <w:rPr>
                <w:sz w:val="10"/>
                <w:szCs w:val="10"/>
                <w:color w:val="auto"/>
              </w:rPr>
            </w:pPr>
          </w:p>
        </w:tc>
      </w:tr>
    </w:tbl>
    <w:p>
      <w:pPr>
        <w:ind w:left="4929"/>
        <w:spacing w:after="0"/>
        <w:rPr>
          <w:sz w:val="20"/>
          <w:szCs w:val="20"/>
          <w:color w:val="auto"/>
        </w:rPr>
      </w:pPr>
      <w:r>
        <w:rPr>
          <w:rFonts w:ascii="Arial" w:cs="Arial" w:eastAsia="Arial" w:hAnsi="Arial"/>
          <w:sz w:val="14"/>
          <w:szCs w:val="14"/>
          <w:color w:val="auto"/>
        </w:rPr>
        <w:t>__________________</w:t>
      </w:r>
    </w:p>
    <w:p>
      <w:pPr>
        <w:spacing w:after="0" w:line="133" w:lineRule="exact"/>
        <w:rPr>
          <w:sz w:val="24"/>
          <w:szCs w:val="24"/>
          <w:color w:val="auto"/>
        </w:rPr>
      </w:pPr>
    </w:p>
    <w:p>
      <w:pPr>
        <w:ind w:left="9"/>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Instructions A.2. below):</w:t>
      </w:r>
    </w:p>
    <w:p>
      <w:pPr>
        <w:spacing w:after="0" w:line="123" w:lineRule="exact"/>
        <w:rPr>
          <w:sz w:val="24"/>
          <w:szCs w:val="24"/>
          <w:color w:val="auto"/>
        </w:rPr>
      </w:pPr>
    </w:p>
    <w:p>
      <w:pPr>
        <w:ind w:left="229" w:hanging="229"/>
        <w:spacing w:after="0"/>
        <w:tabs>
          <w:tab w:leader="none" w:pos="229"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23" w:lineRule="exact"/>
        <w:rPr>
          <w:rFonts w:ascii="MS PGothic" w:cs="MS PGothic" w:eastAsia="MS PGothic" w:hAnsi="MS PGothic"/>
          <w:sz w:val="12"/>
          <w:szCs w:val="12"/>
          <w:color w:val="auto"/>
        </w:rPr>
      </w:pPr>
    </w:p>
    <w:p>
      <w:pPr>
        <w:ind w:left="229" w:hanging="229"/>
        <w:spacing w:after="0"/>
        <w:tabs>
          <w:tab w:leader="none" w:pos="229"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32" w:lineRule="exact"/>
        <w:rPr>
          <w:rFonts w:ascii="MS PGothic" w:cs="MS PGothic" w:eastAsia="MS PGothic" w:hAnsi="MS PGothic"/>
          <w:sz w:val="12"/>
          <w:szCs w:val="12"/>
          <w:color w:val="auto"/>
        </w:rPr>
      </w:pPr>
    </w:p>
    <w:p>
      <w:pPr>
        <w:ind w:left="229" w:hanging="229"/>
        <w:spacing w:after="0"/>
        <w:tabs>
          <w:tab w:leader="none" w:pos="229"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23" w:lineRule="exact"/>
        <w:rPr>
          <w:rFonts w:ascii="MS PGothic" w:cs="MS PGothic" w:eastAsia="MS PGothic" w:hAnsi="MS PGothic"/>
          <w:sz w:val="12"/>
          <w:szCs w:val="12"/>
          <w:color w:val="auto"/>
        </w:rPr>
      </w:pPr>
    </w:p>
    <w:p>
      <w:pPr>
        <w:ind w:left="229" w:hanging="229"/>
        <w:spacing w:after="0"/>
        <w:tabs>
          <w:tab w:leader="none" w:pos="229"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18" w:lineRule="exact"/>
        <w:rPr>
          <w:sz w:val="24"/>
          <w:szCs w:val="24"/>
          <w:color w:val="auto"/>
        </w:rPr>
      </w:pPr>
    </w:p>
    <w:tbl>
      <w:tblPr>
        <w:tblLayout w:type="fixed"/>
        <w:tblInd w:w="9" w:type="dxa"/>
        <w:tblCellMar>
          <w:top w:w="0" w:type="dxa"/>
          <w:left w:w="0" w:type="dxa"/>
          <w:bottom w:w="0" w:type="dxa"/>
          <w:right w:w="0" w:type="dxa"/>
        </w:tblCellMar>
      </w:tblPr>
      <w:tr>
        <w:trPr>
          <w:trHeight w:val="123"/>
        </w:trPr>
        <w:tc>
          <w:tcPr>
            <w:tcW w:w="3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9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Securities registered pursuant to Section 12(b) of the Act:</w:t>
            </w:r>
          </w:p>
        </w:tc>
        <w:tc>
          <w:tcPr>
            <w:tcW w:w="3480" w:type="dxa"/>
            <w:vAlign w:val="bottom"/>
          </w:tcPr>
          <w:p>
            <w:pPr>
              <w:spacing w:after="0"/>
              <w:rPr>
                <w:sz w:val="10"/>
                <w:szCs w:val="10"/>
                <w:color w:val="auto"/>
              </w:rPr>
            </w:pPr>
          </w:p>
        </w:tc>
      </w:tr>
      <w:tr>
        <w:trPr>
          <w:trHeight w:val="153"/>
        </w:trPr>
        <w:tc>
          <w:tcPr>
            <w:tcW w:w="390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color w:val="auto"/>
                <w:w w:val="93"/>
              </w:rPr>
              <w:t>Title of each class</w:t>
            </w:r>
          </w:p>
        </w:tc>
        <w:tc>
          <w:tcPr>
            <w:tcW w:w="39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color w:val="auto"/>
                <w:w w:val="94"/>
              </w:rPr>
              <w:t>Trading symbol(s)</w:t>
            </w:r>
          </w:p>
        </w:tc>
        <w:tc>
          <w:tcPr>
            <w:tcW w:w="3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Name of each exchange on which registered</w:t>
            </w:r>
          </w:p>
        </w:tc>
      </w:tr>
      <w:tr>
        <w:trPr>
          <w:trHeight w:val="140"/>
        </w:trPr>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Common Stock, $0.01 Par Value (voting)</w:t>
            </w:r>
          </w:p>
        </w:tc>
        <w:tc>
          <w:tcPr>
            <w:tcW w:w="420" w:type="dxa"/>
            <w:vAlign w:val="bottom"/>
          </w:tcPr>
          <w:p>
            <w:pPr>
              <w:spacing w:after="0"/>
              <w:rPr>
                <w:sz w:val="12"/>
                <w:szCs w:val="12"/>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AME</w:t>
            </w:r>
          </w:p>
        </w:tc>
        <w:tc>
          <w:tcPr>
            <w:tcW w:w="440" w:type="dxa"/>
            <w:vAlign w:val="bottom"/>
          </w:tcPr>
          <w:p>
            <w:pPr>
              <w:spacing w:after="0"/>
              <w:rPr>
                <w:sz w:val="12"/>
                <w:szCs w:val="12"/>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New York Stock Exchange</w:t>
            </w:r>
          </w:p>
        </w:tc>
      </w:tr>
    </w:tbl>
    <w:p>
      <w:pPr>
        <w:spacing w:after="0" w:line="108" w:lineRule="exact"/>
        <w:rPr>
          <w:sz w:val="24"/>
          <w:szCs w:val="24"/>
          <w:color w:val="auto"/>
        </w:rPr>
      </w:pPr>
    </w:p>
    <w:p>
      <w:pPr>
        <w:ind w:left="9"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ind w:left="9"/>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60" w:lineRule="exact"/>
        <w:rPr>
          <w:sz w:val="24"/>
          <w:szCs w:val="24"/>
          <w:color w:val="auto"/>
        </w:rPr>
      </w:pPr>
    </w:p>
    <w:p>
      <w:pPr>
        <w:ind w:left="9" w:right="100"/>
        <w:spacing w:after="0" w:line="279" w:lineRule="auto"/>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293370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9"/>
          </w:cols>
          <w:pgMar w:left="291" w:top="855"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471805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448945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t>Item 8.01 Other Events</w:t>
      </w:r>
    </w:p>
    <w:p>
      <w:pPr>
        <w:spacing w:after="0" w:line="8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2"/>
          <w:szCs w:val="12"/>
          <w:color w:val="auto"/>
        </w:rPr>
        <w:t>On May 6, 2026, the Company issued a press release announcing it has entered into a definitive agreement to acquire a portfolio of instrumentation businesses from Indicor, LLC (“Indicor Instrumentation”). A copy of the release is furnished as Exhibit 99.1 to this Current Report on Form 8-K.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May 6, 2026, the Company held a conference call with investors to discuss Indicor Instrumentation. A copy of the investor presentation is furnished as Exhibit 99.2 to this Current Report on Form 8-K.</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6"/>
              </w:rPr>
              <w:t>Exhibit No.</w:t>
            </w:r>
          </w:p>
        </w:tc>
        <w:tc>
          <w:tcPr>
            <w:tcW w:w="940" w:type="dxa"/>
            <w:vAlign w:val="bottom"/>
            <w:gridSpan w:val="2"/>
          </w:tcPr>
          <w:p>
            <w:pPr>
              <w:spacing w:after="0"/>
              <w:rPr>
                <w:sz w:val="11"/>
                <w:szCs w:val="11"/>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5"/>
              </w:rPr>
              <w:t>Description</w:t>
            </w:r>
          </w:p>
        </w:tc>
        <w:tc>
          <w:tcPr>
            <w:tcW w:w="9280" w:type="dxa"/>
            <w:vAlign w:val="bottom"/>
            <w:gridSpan w:val="3"/>
          </w:tcPr>
          <w:p>
            <w:pPr>
              <w:spacing w:after="0"/>
              <w:rPr>
                <w:sz w:val="11"/>
                <w:szCs w:val="11"/>
                <w:color w:val="auto"/>
              </w:rPr>
            </w:pPr>
          </w:p>
        </w:tc>
      </w:tr>
      <w:tr>
        <w:trPr>
          <w:trHeight w:val="313"/>
        </w:trPr>
        <w:tc>
          <w:tcPr>
            <w:tcW w:w="620" w:type="dxa"/>
            <w:vAlign w:val="bottom"/>
            <w:gridSpan w:val="3"/>
          </w:tcPr>
          <w:p>
            <w:pPr>
              <w:jc w:val="center"/>
              <w:ind w:left="362"/>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860" w:type="dxa"/>
            <w:vAlign w:val="bottom"/>
          </w:tcPr>
          <w:p>
            <w:pPr>
              <w:spacing w:after="0"/>
              <w:rPr>
                <w:sz w:val="24"/>
                <w:szCs w:val="24"/>
                <w:color w:val="auto"/>
              </w:rPr>
            </w:pPr>
          </w:p>
        </w:tc>
        <w:tc>
          <w:tcPr>
            <w:tcW w:w="982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Press Release dated May 6, 2026, “AMETEK Announces Agreement to Acquire Indicor Instrumentation"</w:t>
            </w:r>
          </w:p>
        </w:tc>
      </w:tr>
      <w:tr>
        <w:trPr>
          <w:trHeight w:val="20"/>
        </w:trPr>
        <w:tc>
          <w:tcPr>
            <w:tcW w:w="4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41"/>
        </w:trPr>
        <w:tc>
          <w:tcPr>
            <w:tcW w:w="620" w:type="dxa"/>
            <w:vAlign w:val="bottom"/>
            <w:gridSpan w:val="3"/>
          </w:tcPr>
          <w:p>
            <w:pPr>
              <w:jc w:val="center"/>
              <w:ind w:left="362"/>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860" w:type="dxa"/>
            <w:vAlign w:val="bottom"/>
          </w:tcPr>
          <w:p>
            <w:pPr>
              <w:spacing w:after="0"/>
              <w:rPr>
                <w:sz w:val="20"/>
                <w:szCs w:val="20"/>
                <w:color w:val="auto"/>
              </w:rPr>
            </w:pPr>
          </w:p>
        </w:tc>
        <w:tc>
          <w:tcPr>
            <w:tcW w:w="982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Investor Presentation dated May 6, 2026</w:t>
            </w:r>
          </w:p>
        </w:tc>
      </w:tr>
      <w:tr>
        <w:trPr>
          <w:trHeight w:val="20"/>
        </w:trPr>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r>
      <w:tr>
        <w:trPr>
          <w:trHeight w:val="268"/>
        </w:trPr>
        <w:tc>
          <w:tcPr>
            <w:tcW w:w="420" w:type="dxa"/>
            <w:vAlign w:val="bottom"/>
          </w:tcPr>
          <w:p>
            <w:pPr>
              <w:spacing w:after="0"/>
              <w:rPr>
                <w:sz w:val="23"/>
                <w:szCs w:val="23"/>
                <w:color w:val="auto"/>
              </w:rPr>
            </w:pPr>
          </w:p>
        </w:tc>
        <w:tc>
          <w:tcPr>
            <w:tcW w:w="20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auto"/>
                <w:w w:val="99"/>
              </w:rPr>
              <w:t>104</w:t>
            </w:r>
          </w:p>
        </w:tc>
        <w:tc>
          <w:tcPr>
            <w:tcW w:w="860" w:type="dxa"/>
            <w:vAlign w:val="bottom"/>
          </w:tcPr>
          <w:p>
            <w:pPr>
              <w:spacing w:after="0"/>
              <w:rPr>
                <w:sz w:val="23"/>
                <w:szCs w:val="23"/>
                <w:color w:val="auto"/>
              </w:rPr>
            </w:pPr>
          </w:p>
        </w:tc>
        <w:tc>
          <w:tcPr>
            <w:tcW w:w="98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567"/>
        </w:trPr>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00"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60" w:type="dxa"/>
            <w:vAlign w:val="bottom"/>
          </w:tcPr>
          <w:p>
            <w:pPr>
              <w:spacing w:after="0"/>
              <w:rPr>
                <w:sz w:val="13"/>
                <w:szCs w:val="13"/>
                <w:color w:val="auto"/>
              </w:rPr>
            </w:pPr>
          </w:p>
        </w:tc>
        <w:tc>
          <w:tcPr>
            <w:tcW w:w="8240" w:type="dxa"/>
            <w:vAlign w:val="bottom"/>
            <w:gridSpan w:val="2"/>
          </w:tcPr>
          <w:p>
            <w:pPr>
              <w:ind w:left="2440"/>
              <w:spacing w:after="0"/>
              <w:rPr>
                <w:sz w:val="20"/>
                <w:szCs w:val="20"/>
                <w:color w:val="auto"/>
              </w:rPr>
            </w:pPr>
            <w:r>
              <w:rPr>
                <w:rFonts w:ascii="Times New Roman" w:cs="Times New Roman" w:eastAsia="Times New Roman" w:hAnsi="Times New Roman"/>
                <w:sz w:val="12"/>
                <w:szCs w:val="12"/>
                <w:color w:val="auto"/>
              </w:rPr>
              <w:t>AMETEK, Inc.</w:t>
            </w:r>
          </w:p>
        </w:tc>
      </w:tr>
      <w:tr>
        <w:trPr>
          <w:trHeight w:val="333"/>
        </w:trPr>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May 6, 2026</w:t>
            </w:r>
          </w:p>
        </w:tc>
        <w:tc>
          <w:tcPr>
            <w:tcW w:w="2860" w:type="dxa"/>
            <w:vAlign w:val="bottom"/>
          </w:tcPr>
          <w:p>
            <w:pPr>
              <w:ind w:left="2440"/>
              <w:spacing w:after="0"/>
              <w:rPr>
                <w:sz w:val="20"/>
                <w:szCs w:val="20"/>
                <w:color w:val="auto"/>
              </w:rPr>
            </w:pPr>
            <w:r>
              <w:rPr>
                <w:rFonts w:ascii="Times New Roman" w:cs="Times New Roman" w:eastAsia="Times New Roman" w:hAnsi="Times New Roman"/>
                <w:sz w:val="12"/>
                <w:szCs w:val="12"/>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ROBERT J. AMODEI</w:t>
            </w:r>
          </w:p>
        </w:tc>
      </w:tr>
      <w:tr>
        <w:trPr>
          <w:trHeight w:val="140"/>
        </w:trPr>
        <w:tc>
          <w:tcPr>
            <w:tcW w:w="30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Name: Robert J. Amodei</w:t>
            </w:r>
          </w:p>
        </w:tc>
      </w:tr>
      <w:tr>
        <w:trPr>
          <w:trHeight w:val="155"/>
        </w:trPr>
        <w:tc>
          <w:tcPr>
            <w:tcW w:w="30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Title: Senior Vice President – Controller</w:t>
            </w:r>
          </w:p>
        </w:tc>
      </w:tr>
    </w:tbl>
    <w:p>
      <w:pPr>
        <w:sectPr>
          <w:pgSz w:w="11900" w:h="16838" w:orient="portrait"/>
          <w:cols w:equalWidth="0" w:num="1">
            <w:col w:w="11300"/>
          </w:cols>
          <w:pgMar w:left="300" w:top="674"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5080</wp:posOffset>
            </wp:positionV>
            <wp:extent cx="4114800" cy="857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AMETEK Announces Agreement to Acquire Indicor Instrumentation</w:t>
      </w:r>
    </w:p>
    <w:p>
      <w:pPr>
        <w:spacing w:after="0" w:line="125" w:lineRule="exact"/>
        <w:rPr>
          <w:sz w:val="20"/>
          <w:szCs w:val="20"/>
          <w:color w:val="auto"/>
        </w:rPr>
      </w:pPr>
    </w:p>
    <w:p>
      <w:pPr>
        <w:ind w:right="20"/>
        <w:spacing w:after="0" w:line="195" w:lineRule="exact"/>
        <w:rPr>
          <w:sz w:val="20"/>
          <w:szCs w:val="20"/>
          <w:color w:val="auto"/>
        </w:rPr>
      </w:pPr>
      <w:r>
        <w:rPr>
          <w:rFonts w:ascii="Arial" w:cs="Arial" w:eastAsia="Arial" w:hAnsi="Arial"/>
          <w:sz w:val="14"/>
          <w:szCs w:val="14"/>
          <w:color w:val="auto"/>
        </w:rPr>
        <w:t>Berwyn, Pa., May 6, 2026 - AMETEK, Inc. (NYSE: AME) today announced that it has entered into a definitive agreement to acquire a portfolio of instrumentation businesses from Indicor, LLC (“Indicor Instrumentation”) in an all</w:t>
      </w:r>
      <w:r>
        <w:rPr>
          <w:rFonts w:ascii="MS PGothic" w:cs="MS PGothic" w:eastAsia="MS PGothic" w:hAnsi="MS PGothic"/>
          <w:sz w:val="14"/>
          <w:szCs w:val="14"/>
          <w:color w:val="auto"/>
        </w:rPr>
        <w:t>‑</w:t>
      </w:r>
      <w:r>
        <w:rPr>
          <w:rFonts w:ascii="Arial" w:cs="Arial" w:eastAsia="Arial" w:hAnsi="Arial"/>
          <w:sz w:val="14"/>
          <w:szCs w:val="14"/>
          <w:color w:val="auto"/>
        </w:rPr>
        <w:t>cash transaction valued at approximately $5.0 billion.</w:t>
      </w:r>
    </w:p>
    <w:p>
      <w:pPr>
        <w:spacing w:after="0" w:line="70" w:lineRule="exact"/>
        <w:rPr>
          <w:sz w:val="20"/>
          <w:szCs w:val="20"/>
          <w:color w:val="auto"/>
        </w:rPr>
      </w:pPr>
    </w:p>
    <w:p>
      <w:pPr>
        <w:ind w:right="220"/>
        <w:spacing w:after="0" w:line="276" w:lineRule="auto"/>
        <w:rPr>
          <w:sz w:val="20"/>
          <w:szCs w:val="20"/>
          <w:color w:val="auto"/>
        </w:rPr>
      </w:pPr>
      <w:r>
        <w:rPr>
          <w:rFonts w:ascii="Arial" w:cs="Arial" w:eastAsia="Arial" w:hAnsi="Arial"/>
          <w:sz w:val="14"/>
          <w:szCs w:val="14"/>
          <w:color w:val="auto"/>
        </w:rPr>
        <w:t>Indicor Instrumentation is a group of leading businesses that design and manufacture mission critical solutions for demanding industrial and scientific applications. Its products serve customers across attractive end markets that align closely with AMETEK’s existing portfolio and generate a substantial base of recurring revenue from consumables, services, and aftermarket support.</w:t>
      </w:r>
    </w:p>
    <w:p>
      <w:pPr>
        <w:spacing w:after="0" w:line="66"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“Indicor is an exceptional fit for AMETEK,” said David A. Zapico, AMETEK Chairman and Chief Executive Officer. “In a single transaction, we are adding a high-quality group of businesses with differentiated technologies, strong market positions, and attractive growth prospects. We see meaningful potential to create value through integration into AMETEK’s operating model.”</w:t>
      </w:r>
    </w:p>
    <w:p>
      <w:pPr>
        <w:spacing w:after="0" w:line="60" w:lineRule="exact"/>
        <w:rPr>
          <w:sz w:val="20"/>
          <w:szCs w:val="20"/>
          <w:color w:val="auto"/>
        </w:rPr>
      </w:pPr>
    </w:p>
    <w:p>
      <w:pPr>
        <w:jc w:val="both"/>
        <w:ind w:right="560"/>
        <w:spacing w:after="0" w:line="298" w:lineRule="auto"/>
        <w:rPr>
          <w:sz w:val="20"/>
          <w:szCs w:val="20"/>
          <w:color w:val="auto"/>
        </w:rPr>
      </w:pPr>
      <w:r>
        <w:rPr>
          <w:rFonts w:ascii="Arial" w:cs="Arial" w:eastAsia="Arial" w:hAnsi="Arial"/>
          <w:sz w:val="14"/>
          <w:szCs w:val="14"/>
          <w:color w:val="auto"/>
        </w:rPr>
        <w:t>Indicor Instrumentation generates approximately $1.1 billion in annual sales and has profitability levels consistent with AMETEK. Following closing of the transaction, the businesses will be integrated into AMETEK’s Electronic Instruments Group (EIG) and Electromechanical Group (EMG) based on product offerings and market alignment.</w:t>
      </w:r>
    </w:p>
    <w:p>
      <w:pPr>
        <w:spacing w:after="0" w:line="50" w:lineRule="exact"/>
        <w:rPr>
          <w:sz w:val="20"/>
          <w:szCs w:val="20"/>
          <w:color w:val="auto"/>
        </w:rPr>
      </w:pPr>
    </w:p>
    <w:p>
      <w:pPr>
        <w:ind w:right="360"/>
        <w:spacing w:after="0" w:line="298" w:lineRule="auto"/>
        <w:rPr>
          <w:sz w:val="20"/>
          <w:szCs w:val="20"/>
          <w:color w:val="auto"/>
        </w:rPr>
      </w:pPr>
      <w:r>
        <w:rPr>
          <w:rFonts w:ascii="Arial" w:cs="Arial" w:eastAsia="Arial" w:hAnsi="Arial"/>
          <w:sz w:val="14"/>
          <w:szCs w:val="14"/>
          <w:color w:val="auto"/>
        </w:rPr>
        <w:t>AMETEK plans to fund the acquisition through borrowings under its existing credit facility and new debt issuance. The transaction is subject to customary closing conditions, including applicable regulatory approvals, and is expected to close in the second half of 2026.</w:t>
      </w:r>
    </w:p>
    <w:p>
      <w:pPr>
        <w:spacing w:after="0" w:line="59" w:lineRule="exact"/>
        <w:rPr>
          <w:sz w:val="20"/>
          <w:szCs w:val="20"/>
          <w:color w:val="auto"/>
        </w:rPr>
      </w:pPr>
    </w:p>
    <w:p>
      <w:pPr>
        <w:ind w:right="500"/>
        <w:spacing w:after="0" w:line="298" w:lineRule="auto"/>
        <w:rPr>
          <w:sz w:val="20"/>
          <w:szCs w:val="20"/>
          <w:color w:val="auto"/>
        </w:rPr>
      </w:pPr>
      <w:r>
        <w:rPr>
          <w:rFonts w:ascii="Arial" w:cs="Arial" w:eastAsia="Arial" w:hAnsi="Arial"/>
          <w:sz w:val="14"/>
          <w:szCs w:val="14"/>
          <w:color w:val="auto"/>
        </w:rPr>
        <w:t>AMETEK will host a conference call to discuss the acquisition at 8:00 a.m. Eastern Time on May 6, 2026. The live audio webcast will be available and later archived in the Investors section of www.ametek.com.</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Profile:</w:t>
      </w:r>
    </w:p>
    <w:p>
      <w:pPr>
        <w:spacing w:after="0" w:line="55"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AMETEK (NYSE: AME) is a leading global provider of industrial technology solutions serving a diverse set of attractive niche markets with annual sales of approximately $7.5 billion. The AMETEK Growth Model integrates the Four Growth Strategies - Operational Excellence, Technology Innovation, Global and Market Expansion, and Strategic Acquisitions - with a disciplined focus on cash generation and capital deployment. AMETEK's objective is double-digit percentage growth in earnings per share over the business cycle and a superior return on total capital. Founded in 1930, AMETEK has been listed on the NYSE for over 95 years and is a component of the S&amp;P 500. For more information, visit www.ametek.com.</w:t>
      </w: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Contact:</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Kevin Coleman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Investor Relations &amp; Treasurer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kevin.coleman@ametek.com</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Phone: 610.889.5247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6350000</wp:posOffset>
            </wp:positionH>
            <wp:positionV relativeFrom="paragraph">
              <wp:posOffset>31750</wp:posOffset>
            </wp:positionV>
            <wp:extent cx="82296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2960" cy="20574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2026-05-06T13:34:19Z</dcterms:created>
  <dcterms:modified xsi:type="dcterms:W3CDTF">2026-05-06T13:34:19Z</dcterms:modified>
</cp:coreProperties>
</file>