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3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AMETEK,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221"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1-12981</w:t>
            </w:r>
          </w:p>
        </w:tc>
        <w:tc>
          <w:tcPr>
            <w:tcW w:w="2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14-1682544</w:t>
            </w:r>
          </w:p>
        </w:tc>
      </w:tr>
      <w:tr>
        <w:trPr>
          <w:trHeight w:val="164"/>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96"/>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1100 Cassatt Road</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8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Berwyn, Pennsylvania</w:t>
            </w:r>
          </w:p>
        </w:tc>
        <w:tc>
          <w:tcPr>
            <w:tcW w:w="2740" w:type="dxa"/>
            <w:vAlign w:val="bottom"/>
          </w:tcPr>
          <w:p>
            <w:pPr>
              <w:spacing w:after="0"/>
              <w:rPr>
                <w:sz w:val="24"/>
                <w:szCs w:val="24"/>
                <w:color w:val="auto"/>
              </w:rPr>
            </w:pPr>
          </w:p>
        </w:tc>
        <w:tc>
          <w:tcPr>
            <w:tcW w:w="2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19312</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spacing w:after="0"/>
              <w:rPr>
                <w:sz w:val="16"/>
                <w:szCs w:val="16"/>
                <w:color w:val="auto"/>
              </w:rPr>
            </w:pP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(610) 647-2121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8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21"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4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60" w:type="dxa"/>
            <w:vAlign w:val="bottom"/>
          </w:tcPr>
          <w:p>
            <w:pPr>
              <w:spacing w:after="0"/>
              <w:rPr>
                <w:sz w:val="16"/>
                <w:szCs w:val="16"/>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420" w:type="dxa"/>
            <w:vAlign w:val="bottom"/>
          </w:tcPr>
          <w:p>
            <w:pPr>
              <w:spacing w:after="0"/>
              <w:rPr>
                <w:sz w:val="18"/>
                <w:szCs w:val="18"/>
                <w:color w:val="auto"/>
              </w:rPr>
            </w:pPr>
          </w:p>
        </w:tc>
        <w:tc>
          <w:tcPr>
            <w:tcW w:w="3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
        </w:trPr>
        <w:tc>
          <w:tcPr>
            <w:tcW w:w="34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06"/>
        </w:trPr>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(voting)</w:t>
            </w:r>
          </w:p>
        </w:tc>
        <w:tc>
          <w:tcPr>
            <w:tcW w:w="42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AME</w:t>
            </w:r>
          </w:p>
        </w:tc>
        <w:tc>
          <w:tcPr>
            <w:tcW w:w="44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6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April 30, 2026, AMETEK, Inc. (the “Company”) issued a press release announcing its financial results for the three months ended March 31, 2026. A copy of the release is furnished as Exhibit 99.1 and incorporated by reference herein. This Current Report on Form 8-K and the press release attached hereto are being furnished pursuant to Item 2.02 of Form 8-K.</w:t>
      </w:r>
    </w:p>
    <w:p>
      <w:pPr>
        <w:spacing w:after="0" w:line="13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information shall not be deemed “filed” for purposes of Section 18 of the Securities Exchange Act of 1934, as amended (the “Exchange Act”), or otherwise subject to the liabilities under that Section and shall not be deemed to be incorporated by reference into any filing by the Company under the Securities Act of 1933, as amended, or the Exchange Act, except as shall be expressly set forth by specific reference in such a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30, 2026, the Company issued a press release announcing it has entered into a definitive agreement to acquire First Aviation Services, Inc. A copy of the release is furnished as Exhibit 99.2 to this Current Report on Form 8-K.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340" w:type="dxa"/>
            <w:vAlign w:val="bottom"/>
          </w:tcPr>
          <w:p>
            <w:pPr>
              <w:spacing w:after="0"/>
              <w:rPr>
                <w:sz w:val="16"/>
                <w:szCs w:val="16"/>
                <w:color w:val="auto"/>
              </w:rPr>
            </w:pPr>
          </w:p>
        </w:tc>
        <w:tc>
          <w:tcPr>
            <w:tcW w:w="100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6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0000FF"/>
              </w:rPr>
              <w:t>Press release, dated April 30, 2026, “AMETEK Announces Record First Quarter 2026 Results and Raises Full Year Guidance "</w:t>
            </w:r>
          </w:p>
        </w:tc>
      </w:tr>
      <w:tr>
        <w:trPr>
          <w:trHeight w:val="20"/>
        </w:trPr>
        <w:tc>
          <w:tcPr>
            <w:tcW w:w="680" w:type="dxa"/>
            <w:vAlign w:val="bottom"/>
            <w:gridSpan w:val="3"/>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6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0000FF"/>
              </w:rPr>
              <w:t>Press release, dated April 30, 2026, “AMETEK Announces Agreement to Acquire First Aviation Services"</w:t>
            </w:r>
          </w:p>
        </w:tc>
      </w:tr>
      <w:tr>
        <w:trPr>
          <w:trHeight w:val="20"/>
        </w:trPr>
        <w:tc>
          <w:tcPr>
            <w:tcW w:w="3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399"/>
        </w:trPr>
        <w:tc>
          <w:tcPr>
            <w:tcW w:w="380" w:type="dxa"/>
            <w:vAlign w:val="bottom"/>
            <w:gridSpan w:val="2"/>
          </w:tcPr>
          <w:p>
            <w:pPr>
              <w:spacing w:after="0"/>
              <w:rPr>
                <w:sz w:val="24"/>
                <w:szCs w:val="24"/>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4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AMETEK, Inc.</w:t>
            </w:r>
          </w:p>
        </w:tc>
      </w:tr>
      <w:tr>
        <w:trPr>
          <w:trHeight w:val="50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w:t>
            </w:r>
          </w:p>
        </w:tc>
        <w:tc>
          <w:tcPr>
            <w:tcW w:w="79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ROBERT J. AMODEI</w:t>
            </w:r>
          </w:p>
        </w:tc>
      </w:tr>
      <w:tr>
        <w:trPr>
          <w:trHeight w:val="218"/>
        </w:trPr>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Robert J. Amodei</w:t>
            </w:r>
          </w:p>
        </w:tc>
      </w:tr>
      <w:tr>
        <w:trPr>
          <w:trHeight w:val="234"/>
        </w:trPr>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Senior Vice President – Controller</w:t>
            </w:r>
          </w:p>
        </w:tc>
      </w:tr>
    </w:tbl>
    <w:p>
      <w:pPr>
        <w:sectPr>
          <w:pgSz w:w="11900" w:h="16838" w:orient="portrait"/>
          <w:cols w:equalWidth="0" w:num="1">
            <w:col w:w="11240"/>
          </w:cols>
          <w:pgMar w:left="320" w:top="94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10795</wp:posOffset>
            </wp:positionV>
            <wp:extent cx="6129655" cy="1208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965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AMETEK Announces Record First Quarter 2026 Results and Raises Full Year Guidance</w:t>
      </w:r>
    </w:p>
    <w:p>
      <w:pPr>
        <w:spacing w:after="0" w:line="237" w:lineRule="exact"/>
        <w:rPr>
          <w:sz w:val="20"/>
          <w:szCs w:val="20"/>
          <w:color w:val="auto"/>
        </w:rPr>
      </w:pPr>
    </w:p>
    <w:p>
      <w:pPr>
        <w:ind w:right="280"/>
        <w:spacing w:after="0" w:line="285" w:lineRule="auto"/>
        <w:rPr>
          <w:sz w:val="20"/>
          <w:szCs w:val="20"/>
          <w:color w:val="auto"/>
        </w:rPr>
      </w:pPr>
      <w:r>
        <w:rPr>
          <w:rFonts w:ascii="Arial" w:cs="Arial" w:eastAsia="Arial" w:hAnsi="Arial"/>
          <w:sz w:val="22"/>
          <w:szCs w:val="22"/>
          <w:color w:val="auto"/>
        </w:rPr>
        <w:t>Berwyn, Pa., April 30, 2026 – AMETEK, Inc. (NYSE: AME) today announced its financial results for the first quarter ended March 31, 2026.</w:t>
      </w:r>
    </w:p>
    <w:p>
      <w:pPr>
        <w:spacing w:after="0" w:line="142"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AMETEK’s first quarter 2026 sales were $1.93 billion, an 11% increase over the first quarter of 2025. On a GAAP basis, first quarter earnings were a record $1.74 per diluted share. Adjusted earnings in the quarter were $1.97 per diluted share, up 13% from the first quarter of 2025. Adjusted earnings adds back non-cash, after-tax, acquisition-related intangible amortization and integration costs of $0.23 per diluted share.</w:t>
      </w:r>
    </w:p>
    <w:p>
      <w:pPr>
        <w:spacing w:after="0" w:line="189"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GAAP operating income was $514.9 million. Adjusted operating income increased 14% to $516.6 million and operating margins were 26.8% in the quarter, up 50 basis points from the prior year. A reconciliation of reported GAAP results to adjusted results is included in the financial tables accompanying this release and on the AMETEK website.</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“AMETEK had an excellent start to the year. Strong organic sales growth, contributions from recent acquisitions, and outstanding operating performance led to double-digit earnings growth, record EBITDA and robust core margin expansion of 160 basis points,” stated David A. Zapico, AMETEK Chairman and Chief Executive Officer. “Additionally, end market demand remains strong and broad based, with record orders up 23% in the quarter resulting in a record backlog.”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Instruments Group (EIG)</w:t>
      </w:r>
    </w:p>
    <w:p>
      <w:pPr>
        <w:spacing w:after="0" w:line="222" w:lineRule="exact"/>
        <w:rPr>
          <w:sz w:val="20"/>
          <w:szCs w:val="20"/>
          <w:color w:val="auto"/>
        </w:rPr>
      </w:pPr>
    </w:p>
    <w:p>
      <w:pPr>
        <w:ind w:right="140"/>
        <w:spacing w:after="0" w:line="264" w:lineRule="auto"/>
        <w:rPr>
          <w:sz w:val="20"/>
          <w:szCs w:val="20"/>
          <w:color w:val="auto"/>
        </w:rPr>
      </w:pPr>
      <w:r>
        <w:rPr>
          <w:rFonts w:ascii="Arial" w:cs="Arial" w:eastAsia="Arial" w:hAnsi="Arial"/>
          <w:sz w:val="22"/>
          <w:szCs w:val="22"/>
          <w:color w:val="auto"/>
        </w:rPr>
        <w:t>EIG sales in the first quarter were $1.26 billion, an increase of 11% over the same period in 2025. On a GAAP basis, EIG’s first quarter operating income was $373.9 million. On an adjusted basis, EIG operating income was up 6% to $375.6 million.</w:t>
      </w:r>
    </w:p>
    <w:p>
      <w:pPr>
        <w:spacing w:after="0" w:line="164" w:lineRule="exact"/>
        <w:rPr>
          <w:sz w:val="20"/>
          <w:szCs w:val="20"/>
          <w:color w:val="auto"/>
        </w:rPr>
      </w:pPr>
    </w:p>
    <w:p>
      <w:pPr>
        <w:ind w:right="220"/>
        <w:spacing w:after="0" w:line="257" w:lineRule="auto"/>
        <w:rPr>
          <w:sz w:val="20"/>
          <w:szCs w:val="20"/>
          <w:color w:val="auto"/>
        </w:rPr>
      </w:pPr>
      <w:r>
        <w:rPr>
          <w:rFonts w:ascii="Arial" w:cs="Arial" w:eastAsia="Arial" w:hAnsi="Arial"/>
          <w:sz w:val="22"/>
          <w:szCs w:val="22"/>
          <w:color w:val="auto"/>
        </w:rPr>
        <w:t>"EIG delivered strong results in the first quarter with outstanding, broad-based orders growth,” commented Mr. Zapico. “Sales were also strong with double-digit growth driven by a combination of solid organic sales growth and contributions from recent acquisitions, and EIG’s disciplined operating performance drove core margins up 40 basis points to 31.4%.”</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Electromechanical Group (EMG)</w:t>
      </w:r>
    </w:p>
    <w:p>
      <w:pPr>
        <w:spacing w:after="0" w:line="222"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EMG sales in the first quarter were a record $663.9 million, up 13% from the first quarter of 2025. EMG’s first quarter operating income increased 33% to a record $170.8 million, and operating income margins were 25.7% in the quarter, up 380 basis points versus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358140</wp:posOffset>
            </wp:positionV>
            <wp:extent cx="1414145" cy="351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35179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 1</w:t>
      </w:r>
    </w:p>
    <w:p>
      <w:pPr>
        <w:sectPr>
          <w:pgSz w:w="11900" w:h="16838" w:orient="portrait"/>
          <w:cols w:equalWidth="0" w:num="1">
            <w:col w:w="11240"/>
          </w:cols>
          <w:pgMar w:left="320" w:top="761" w:right="339" w:bottom="1440" w:gutter="0" w:footer="0" w:header="0"/>
          <w:type w:val="continuous"/>
        </w:sectPr>
      </w:pPr>
    </w:p>
    <w:bookmarkStart w:id="4" w:name="page5"/>
    <w:bookmarkEnd w:id="4"/>
    <w:p>
      <w:pPr>
        <w:ind w:right="660"/>
        <w:spacing w:after="0" w:line="272" w:lineRule="auto"/>
        <w:rPr>
          <w:sz w:val="20"/>
          <w:szCs w:val="20"/>
          <w:color w:val="auto"/>
        </w:rPr>
      </w:pPr>
      <w:r>
        <w:rPr>
          <w:rFonts w:ascii="Arial" w:cs="Arial" w:eastAsia="Arial" w:hAnsi="Arial"/>
          <w:sz w:val="22"/>
          <w:szCs w:val="22"/>
          <w:color w:val="auto"/>
        </w:rPr>
        <w:t>“EMG performed exceptionally well in the first quarter. Continued robust and broad-based organic sales growth resulted in outstanding profit growth and sizeable margin expansion," noted Mr. Zapico.</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and Full Year 2026 Outlook</w:t>
      </w:r>
    </w:p>
    <w:p>
      <w:pPr>
        <w:spacing w:after="0" w:line="235"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"I am pleased with AMETEK’s results in the first quarter. Our businesses are performing very well and delivering exceptional results. AMETEK remains well positioned given our record backlog, momentum across attractive markets, and the proven strength and durability of the AMETEK Growth Model. Additionally, our balance sheet and strong cash flows provide us with meaningful capital to deploy on strategic acquisitions,” stated Mr. Zapico.</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22"/>
          <w:szCs w:val="22"/>
          <w:color w:val="auto"/>
        </w:rPr>
        <w:t>“For 2026, we now expect overall sales to be up high single digits compared to 2025. Adjusted earnings per diluted share are now expected to be in the range of $7.94 to $8.14, up 7% to 10% over the comparable basis for 2025. This is an increase from our prior guidance range of $7.87 to $8.07 per diluted share,” he added.</w:t>
      </w:r>
    </w:p>
    <w:p>
      <w:pPr>
        <w:spacing w:after="0" w:line="164" w:lineRule="exact"/>
        <w:rPr>
          <w:sz w:val="20"/>
          <w:szCs w:val="20"/>
          <w:color w:val="auto"/>
        </w:rPr>
      </w:pPr>
    </w:p>
    <w:p>
      <w:pPr>
        <w:ind w:right="360"/>
        <w:spacing w:after="0" w:line="257" w:lineRule="auto"/>
        <w:rPr>
          <w:sz w:val="20"/>
          <w:szCs w:val="20"/>
          <w:color w:val="auto"/>
        </w:rPr>
      </w:pPr>
      <w:r>
        <w:rPr>
          <w:rFonts w:ascii="Arial" w:cs="Arial" w:eastAsia="Arial" w:hAnsi="Arial"/>
          <w:sz w:val="22"/>
          <w:szCs w:val="22"/>
          <w:color w:val="auto"/>
        </w:rPr>
        <w:t>“For the second quarter of 2026, overall sales are expected to be up high single digits compared to the second quarter of 2025. Adjusted earnings in the quarter are anticipated to be in the range of $1.96 to $2.00 per share, up 10% to 12% compared to the second quarter of 2025,” concluded Mr. Zapico.</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35" w:lineRule="exact"/>
        <w:rPr>
          <w:sz w:val="20"/>
          <w:szCs w:val="20"/>
          <w:color w:val="auto"/>
        </w:rPr>
      </w:pPr>
    </w:p>
    <w:p>
      <w:pPr>
        <w:ind w:right="360"/>
        <w:spacing w:after="0" w:line="296" w:lineRule="auto"/>
        <w:rPr>
          <w:sz w:val="20"/>
          <w:szCs w:val="20"/>
          <w:color w:val="auto"/>
        </w:rPr>
      </w:pPr>
      <w:r>
        <w:rPr>
          <w:rFonts w:ascii="Arial" w:cs="Arial" w:eastAsia="Arial" w:hAnsi="Arial"/>
          <w:sz w:val="21"/>
          <w:szCs w:val="21"/>
          <w:color w:val="auto"/>
        </w:rPr>
        <w:t>AMETEK will webcast its first quarter 2026 investor conference call on Thursday, April 30, 2026, beginning at 8:30 AM ET. The live audio webcast will be available and later archived in the Investors section of www.ametek.com.</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Profile</w:t>
      </w:r>
    </w:p>
    <w:p>
      <w:pPr>
        <w:spacing w:after="0" w:line="22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AMETEK (NYSE: AME) is a leading global provider of industrial technology solutions serving a diverse set of attractive niche markets with annual sales of approximately $7.5 billion. The AMETEK Growth Model integrates the Four Growth Strategies - Operational Excellence, Technology Innovation, Global and Market Expansion, and Strategic Acquisitions - with a disciplined focus on cash generation and capital deployment. AMETEK's objective is double-digit percentage growth in earnings per share over the business cycle and a superior return on total capital. Founded in 1930, AMETEK has been listed on the NYSE for over 95 years and is a component of the S&amp;P 500. For more information, visit www.ametek.com.</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Information</w:t>
      </w:r>
    </w:p>
    <w:p>
      <w:pPr>
        <w:spacing w:after="0" w:line="222"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Statements in this news release relating to future events, such as AMETEK’s expected business and financial performance, are "forward-looking statements." Forward-looking statements are subject to various factors and uncertainties that may cause actual results to differ materially from expectations. These factors and uncertainties include risks related to AMETEK’s ability to consummate and successfully integrate future acquisitions; risks with international sales and operations, including supply chain disruptions, tariffs, trade disputes and currency conditions; AMETEK’s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our markets; the ability to maintain adequate liquidity and financing sources; and general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74295</wp:posOffset>
            </wp:positionV>
            <wp:extent cx="1414145"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351790"/>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775"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22"/>
          <w:szCs w:val="22"/>
          <w:color w:val="auto"/>
        </w:rPr>
        <w:t>conditions affecting the industries we serve. A detailed discussion of these and other factors that may affect our future results is contained in AMETEK’s filings with the U.S. Securities and Exchange Commission, including its most recent reports on Forms 10-K, 10-Q and 8-K. AMETEK disclaims any intention or obligation to update or revise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Kevin Coleman Vice President</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and Treasurer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kevin.coleman@ametek.com</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Phone: 610.889.5247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-14605</wp:posOffset>
            </wp:positionV>
            <wp:extent cx="1414145"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351155"/>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77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3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1,928,437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1,731,971</w:t>
            </w:r>
          </w:p>
        </w:tc>
      </w:tr>
      <w:tr>
        <w:trPr>
          <w:trHeight w:val="88"/>
        </w:trPr>
        <w:tc>
          <w:tcPr>
            <w:tcW w:w="40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1,210,878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1,106,971</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202,623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170,171</w:t>
            </w:r>
          </w:p>
        </w:tc>
      </w:tr>
      <w:tr>
        <w:trPr>
          <w:trHeight w:val="223"/>
        </w:trPr>
        <w:tc>
          <w:tcPr>
            <w:tcW w:w="4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3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1,413,501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1,277,142</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514,936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454,829</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(18,993)</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492,980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434,222</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93,623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82,464</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399,357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351,758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0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400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Basic earnings per share</w:t>
            </w:r>
          </w:p>
        </w:tc>
        <w:tc>
          <w:tcPr>
            <w:tcW w:w="33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1.74</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5"/>
        </w:trPr>
        <w:tc>
          <w:tcPr>
            <w:tcW w:w="4000" w:type="dxa"/>
            <w:vAlign w:val="bottom"/>
            <w:shd w:val="clear" w:color="auto" w:fill="CCEEFF"/>
          </w:tcPr>
          <w:p>
            <w:pPr>
              <w:spacing w:after="0"/>
              <w:rPr>
                <w:sz w:val="6"/>
                <w:szCs w:val="6"/>
                <w:color w:val="auto"/>
              </w:rPr>
            </w:pPr>
          </w:p>
        </w:tc>
        <w:tc>
          <w:tcPr>
            <w:tcW w:w="33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5"/>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 shares</w:t>
            </w:r>
          </w:p>
        </w:tc>
        <w:tc>
          <w:tcPr>
            <w:tcW w:w="3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229,835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231,542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00" w:type="dxa"/>
            <w:vAlign w:val="bottom"/>
          </w:tcPr>
          <w:p>
            <w:pPr>
              <w:ind w:left="600"/>
              <w:spacing w:after="0" w:line="203" w:lineRule="exact"/>
              <w:rPr>
                <w:sz w:val="20"/>
                <w:szCs w:val="20"/>
                <w:color w:val="auto"/>
              </w:rPr>
            </w:pPr>
            <w:r>
              <w:rPr>
                <w:rFonts w:ascii="Arial" w:cs="Arial" w:eastAsia="Arial" w:hAnsi="Arial"/>
                <w:sz w:val="18"/>
                <w:szCs w:val="18"/>
                <w:color w:val="auto"/>
              </w:rPr>
              <w:t>Basic shares</w:t>
            </w:r>
          </w:p>
        </w:tc>
        <w:tc>
          <w:tcPr>
            <w:tcW w:w="3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228,903</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230,668</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5"/>
        </w:trPr>
        <w:tc>
          <w:tcPr>
            <w:tcW w:w="4000" w:type="dxa"/>
            <w:vAlign w:val="bottom"/>
            <w:shd w:val="clear" w:color="auto" w:fill="CCEEFF"/>
          </w:tcPr>
          <w:p>
            <w:pPr>
              <w:spacing w:after="0"/>
              <w:rPr>
                <w:sz w:val="6"/>
                <w:szCs w:val="6"/>
                <w:color w:val="auto"/>
              </w:rPr>
            </w:pPr>
          </w:p>
        </w:tc>
        <w:tc>
          <w:tcPr>
            <w:tcW w:w="33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per share</w:t>
            </w:r>
          </w:p>
        </w:tc>
        <w:tc>
          <w:tcPr>
            <w:tcW w:w="38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4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704"/>
        </w:trPr>
        <w:tc>
          <w:tcPr>
            <w:tcW w:w="4000" w:type="dxa"/>
            <w:vAlign w:val="bottom"/>
          </w:tcPr>
          <w:p>
            <w:pPr>
              <w:spacing w:after="0"/>
              <w:rPr>
                <w:sz w:val="24"/>
                <w:szCs w:val="24"/>
                <w:color w:val="auto"/>
              </w:rPr>
            </w:pPr>
          </w:p>
        </w:tc>
        <w:tc>
          <w:tcPr>
            <w:tcW w:w="382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9"/>
              </w:rPr>
              <w:t>AMETEK, Inc.</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382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rPr>
              <w:t>Information by Business Segment</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82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9"/>
              </w:rPr>
              <w:t>(In thousands)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7"/>
        </w:trPr>
        <w:tc>
          <w:tcPr>
            <w:tcW w:w="4000" w:type="dxa"/>
            <w:vAlign w:val="bottom"/>
          </w:tcPr>
          <w:p>
            <w:pPr>
              <w:spacing w:after="0"/>
              <w:rPr>
                <w:sz w:val="21"/>
                <w:szCs w:val="21"/>
                <w:color w:val="auto"/>
              </w:rPr>
            </w:pPr>
          </w:p>
        </w:tc>
        <w:tc>
          <w:tcPr>
            <w:tcW w:w="382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9"/>
              </w:rPr>
              <w:t>(Unaudited)</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361"/>
        </w:trPr>
        <w:tc>
          <w:tcPr>
            <w:tcW w:w="4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35"/>
        </w:trPr>
        <w:tc>
          <w:tcPr>
            <w:tcW w:w="40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340" w:type="dxa"/>
            <w:vAlign w:val="bottom"/>
            <w:tcBorders>
              <w:bottom w:val="single" w:sz="8" w:color="auto"/>
            </w:tcBorders>
          </w:tcPr>
          <w:p>
            <w:pPr>
              <w:spacing w:after="0"/>
              <w:rPr>
                <w:sz w:val="20"/>
                <w:szCs w:val="20"/>
                <w:color w:val="auto"/>
              </w:rPr>
            </w:pPr>
          </w:p>
        </w:tc>
      </w:tr>
      <w:tr>
        <w:trPr>
          <w:trHeight w:val="223"/>
        </w:trPr>
        <w:tc>
          <w:tcPr>
            <w:tcW w:w="400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Electronic Instruments</w:t>
            </w:r>
          </w:p>
        </w:tc>
        <w:tc>
          <w:tcPr>
            <w:tcW w:w="38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1,264,536</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1,143,673</w:t>
            </w: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Electromechanical</w:t>
            </w:r>
          </w:p>
        </w:tc>
        <w:tc>
          <w:tcPr>
            <w:tcW w:w="33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663,901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588,298</w:t>
            </w:r>
          </w:p>
        </w:tc>
      </w:tr>
      <w:tr>
        <w:trPr>
          <w:trHeight w:val="223"/>
        </w:trPr>
        <w:tc>
          <w:tcPr>
            <w:tcW w:w="4000" w:type="dxa"/>
            <w:vAlign w:val="bottom"/>
          </w:tcPr>
          <w:p>
            <w:pPr>
              <w:ind w:left="460"/>
              <w:spacing w:after="0"/>
              <w:rPr>
                <w:sz w:val="20"/>
                <w:szCs w:val="20"/>
                <w:color w:val="auto"/>
              </w:rPr>
            </w:pPr>
            <w:r>
              <w:rPr>
                <w:rFonts w:ascii="Arial" w:cs="Arial" w:eastAsia="Arial" w:hAnsi="Arial"/>
                <w:sz w:val="18"/>
                <w:szCs w:val="18"/>
                <w:color w:val="auto"/>
              </w:rPr>
              <w:t>Consolidated net sales</w:t>
            </w:r>
          </w:p>
        </w:tc>
        <w:tc>
          <w:tcPr>
            <w:tcW w:w="33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1,928,437</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1,731,971</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Electronic Instruments</w:t>
            </w:r>
          </w:p>
        </w:tc>
        <w:tc>
          <w:tcPr>
            <w:tcW w:w="38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373,938</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354,050</w:t>
            </w: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Electromechanical</w:t>
            </w:r>
          </w:p>
        </w:tc>
        <w:tc>
          <w:tcPr>
            <w:tcW w:w="33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170,766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128,718</w:t>
            </w:r>
          </w:p>
        </w:tc>
      </w:tr>
      <w:tr>
        <w:trPr>
          <w:trHeight w:val="223"/>
        </w:trPr>
        <w:tc>
          <w:tcPr>
            <w:tcW w:w="4000" w:type="dxa"/>
            <w:vAlign w:val="bottom"/>
          </w:tcPr>
          <w:p>
            <w:pPr>
              <w:ind w:left="460"/>
              <w:spacing w:after="0"/>
              <w:rPr>
                <w:sz w:val="20"/>
                <w:szCs w:val="20"/>
                <w:color w:val="auto"/>
              </w:rPr>
            </w:pPr>
            <w:r>
              <w:rPr>
                <w:rFonts w:ascii="Arial" w:cs="Arial" w:eastAsia="Arial" w:hAnsi="Arial"/>
                <w:sz w:val="18"/>
                <w:szCs w:val="18"/>
                <w:color w:val="auto"/>
              </w:rPr>
              <w:t>Total segment operating income</w:t>
            </w:r>
          </w:p>
        </w:tc>
        <w:tc>
          <w:tcPr>
            <w:tcW w:w="3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544,704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482,768</w:t>
            </w: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administrative expenses</w:t>
            </w:r>
          </w:p>
        </w:tc>
        <w:tc>
          <w:tcPr>
            <w:tcW w:w="33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(27,939)</w:t>
            </w:r>
          </w:p>
        </w:tc>
      </w:tr>
      <w:tr>
        <w:trPr>
          <w:trHeight w:val="223"/>
        </w:trPr>
        <w:tc>
          <w:tcPr>
            <w:tcW w:w="4000" w:type="dxa"/>
            <w:vAlign w:val="bottom"/>
          </w:tcPr>
          <w:p>
            <w:pPr>
              <w:ind w:left="460"/>
              <w:spacing w:after="0"/>
              <w:rPr>
                <w:sz w:val="20"/>
                <w:szCs w:val="20"/>
                <w:color w:val="auto"/>
              </w:rPr>
            </w:pPr>
            <w:r>
              <w:rPr>
                <w:rFonts w:ascii="Arial" w:cs="Arial" w:eastAsia="Arial" w:hAnsi="Arial"/>
                <w:sz w:val="18"/>
                <w:szCs w:val="18"/>
                <w:color w:val="auto"/>
              </w:rPr>
              <w:t>Consolidated operating income</w:t>
            </w:r>
          </w:p>
        </w:tc>
        <w:tc>
          <w:tcPr>
            <w:tcW w:w="33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514,936</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454,829</w:t>
            </w:r>
          </w:p>
        </w:tc>
      </w:tr>
      <w:tr>
        <w:trPr>
          <w:trHeight w:val="21"/>
        </w:trPr>
        <w:tc>
          <w:tcPr>
            <w:tcW w:w="4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274320</wp:posOffset>
            </wp:positionV>
            <wp:extent cx="141414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94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9"/>
                <w:szCs w:val="19"/>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23"/>
        </w:trPr>
        <w:tc>
          <w:tcPr>
            <w:tcW w:w="7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(Unaudited)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481,250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457,951</w:t>
            </w:r>
          </w:p>
        </w:tc>
      </w:tr>
      <w:tr>
        <w:trPr>
          <w:trHeight w:val="230"/>
        </w:trPr>
        <w:tc>
          <w:tcPr>
            <w:tcW w:w="7380" w:type="dxa"/>
            <w:vAlign w:val="bottom"/>
          </w:tcPr>
          <w:p>
            <w:pPr>
              <w:ind w:left="60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1,153,951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1,119,257</w:t>
            </w:r>
          </w:p>
        </w:tc>
      </w:tr>
      <w:tr>
        <w:trPr>
          <w:trHeight w:val="229"/>
        </w:trPr>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1,143,418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1,106,405</w:t>
            </w:r>
          </w:p>
        </w:tc>
      </w:tr>
      <w:tr>
        <w:trPr>
          <w:trHeight w:val="230"/>
        </w:trPr>
        <w:tc>
          <w:tcPr>
            <w:tcW w:w="73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358,889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336,229</w:t>
            </w:r>
          </w:p>
        </w:tc>
      </w:tr>
      <w:tr>
        <w:trPr>
          <w:trHeight w:val="223"/>
        </w:trPr>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3,137,508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3,019,842</w:t>
            </w:r>
          </w:p>
        </w:tc>
      </w:tr>
      <w:tr>
        <w:trPr>
          <w:trHeight w:val="270"/>
        </w:trPr>
        <w:tc>
          <w:tcPr>
            <w:tcW w:w="7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840,388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855,215</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Right of use assets,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263,167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273,142</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7,266,351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7,170,770</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intangibles, investments and other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4,802,121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4,748,574</w:t>
            </w:r>
          </w:p>
        </w:tc>
      </w:tr>
      <w:tr>
        <w:trPr>
          <w:trHeight w:val="248"/>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16,309,535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16,067,543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Short-term borrowings and current portion of long-term debt,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1,114,946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1,208,975</w:t>
            </w:r>
          </w:p>
        </w:tc>
      </w:tr>
      <w:tr>
        <w:trPr>
          <w:trHeight w:val="229"/>
        </w:trPr>
        <w:tc>
          <w:tcPr>
            <w:tcW w:w="73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Accounts payable and accruals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1,641,190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1,633,777</w:t>
            </w:r>
          </w:p>
        </w:tc>
      </w:tr>
      <w:tr>
        <w:trPr>
          <w:trHeight w:val="223"/>
        </w:trPr>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2,756,136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2,842,752</w:t>
            </w:r>
          </w:p>
        </w:tc>
      </w:tr>
      <w:tr>
        <w:trPr>
          <w:trHeight w:val="270"/>
        </w:trPr>
        <w:tc>
          <w:tcPr>
            <w:tcW w:w="7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1,062,603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1,074,334</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Deferred income taxes and other long-term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1,571,499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1,521,671</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10,919,297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10,628,786</w:t>
            </w:r>
          </w:p>
        </w:tc>
      </w:tr>
      <w:tr>
        <w:trPr>
          <w:trHeight w:val="223"/>
        </w:trPr>
        <w:tc>
          <w:tcPr>
            <w:tcW w:w="7380" w:type="dxa"/>
            <w:vAlign w:val="bottom"/>
          </w:tcPr>
          <w:p>
            <w:pPr>
              <w:ind w:left="10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16,309,535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16,067,543</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0</wp:posOffset>
            </wp:positionV>
            <wp:extent cx="141414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351155"/>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240"/>
          </w:cols>
          <w:pgMar w:left="320" w:top="94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Reconciliations of GAAP to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5160" w:type="dxa"/>
            <w:vAlign w:val="bottom"/>
            <w:shd w:val="clear" w:color="auto" w:fill="CCEEFF"/>
          </w:tcPr>
          <w:p>
            <w:pPr>
              <w:spacing w:after="0"/>
              <w:rPr>
                <w:sz w:val="19"/>
                <w:szCs w:val="19"/>
                <w:color w:val="auto"/>
              </w:rPr>
            </w:pPr>
          </w:p>
        </w:tc>
        <w:tc>
          <w:tcPr>
            <w:tcW w:w="3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EIG Segment operating income (GAAP)</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8"/>
              </w:rPr>
              <w:t>373,938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8"/>
              </w:rPr>
              <w:t>354,050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line="23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3"/>
                <w:szCs w:val="23"/>
                <w:color w:val="auto"/>
                <w:vertAlign w:val="superscript"/>
              </w:rPr>
              <w:t>(1)</w:t>
            </w:r>
          </w:p>
        </w:tc>
        <w:tc>
          <w:tcPr>
            <w:tcW w:w="13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1,615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EIG Segment operating income (Non-GAAP)</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8"/>
              </w:rPr>
              <w:t>375,553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8"/>
              </w:rPr>
              <w:t>354,050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(GAAP)</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8"/>
              </w:rPr>
              <w:t>514,936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8"/>
              </w:rPr>
              <w:t>454,829</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line="23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3"/>
                <w:szCs w:val="23"/>
                <w:color w:val="auto"/>
                <w:vertAlign w:val="superscript"/>
              </w:rPr>
              <w:t>(1)</w:t>
            </w:r>
          </w:p>
        </w:tc>
        <w:tc>
          <w:tcPr>
            <w:tcW w:w="13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1,615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(Non-GAAP)</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8"/>
              </w:rPr>
              <w:t>516,551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8"/>
              </w:rPr>
              <w:t>454,829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(GAAP)</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line="23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3"/>
                <w:szCs w:val="23"/>
                <w:color w:val="auto"/>
                <w:vertAlign w:val="superscript"/>
              </w:rPr>
              <w:t>(1)</w:t>
            </w:r>
          </w:p>
        </w:tc>
        <w:tc>
          <w:tcPr>
            <w:tcW w:w="13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Income tax benefit on acquisition-related costs</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Pretax amortization of acquisition-related intangible assets</w:t>
            </w:r>
          </w:p>
        </w:tc>
        <w:tc>
          <w:tcPr>
            <w:tcW w:w="13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0.30</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340"/>
              <w:spacing w:after="0" w:line="183" w:lineRule="exact"/>
              <w:rPr>
                <w:sz w:val="20"/>
                <w:szCs w:val="20"/>
                <w:color w:val="auto"/>
              </w:rPr>
            </w:pPr>
            <w:r>
              <w:rPr>
                <w:rFonts w:ascii="Arial" w:cs="Arial" w:eastAsia="Arial" w:hAnsi="Arial"/>
                <w:sz w:val="18"/>
                <w:szCs w:val="18"/>
                <w:color w:val="auto"/>
              </w:rPr>
              <w:t>Income tax benefit on amortization of acquisition-related</w:t>
            </w:r>
          </w:p>
        </w:tc>
        <w:tc>
          <w:tcPr>
            <w:tcW w:w="1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(0.07)</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3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Rounding</w:t>
            </w:r>
          </w:p>
        </w:tc>
        <w:tc>
          <w:tcPr>
            <w:tcW w:w="13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(0.01)</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Diluted earnings per share (Non-GAAP)</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color w:val="auto"/>
              </w:rPr>
              <w:t>EIG Segment operating margin (GAAP)</w:t>
            </w: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29.6 %</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31.0 %</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line="230" w:lineRule="exact"/>
              <w:rPr>
                <w:sz w:val="20"/>
                <w:szCs w:val="20"/>
                <w:color w:val="auto"/>
              </w:rPr>
            </w:pPr>
            <w:r>
              <w:rPr>
                <w:rFonts w:ascii="Arial" w:cs="Arial" w:eastAsia="Arial" w:hAnsi="Arial"/>
                <w:sz w:val="18"/>
                <w:szCs w:val="18"/>
                <w:color w:val="auto"/>
              </w:rPr>
              <w:t>Dilutive impact of acquisitions and foreign exchange</w:t>
            </w:r>
            <w:r>
              <w:rPr>
                <w:rFonts w:ascii="Arial" w:cs="Arial" w:eastAsia="Arial" w:hAnsi="Arial"/>
                <w:sz w:val="23"/>
                <w:szCs w:val="23"/>
                <w:color w:val="auto"/>
                <w:vertAlign w:val="superscript"/>
              </w:rPr>
              <w:t>(2)</w:t>
            </w:r>
          </w:p>
        </w:tc>
        <w:tc>
          <w:tcPr>
            <w:tcW w:w="1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EIG Segment operating margin (Non-GAAP)</w:t>
            </w:r>
          </w:p>
        </w:tc>
        <w:tc>
          <w:tcPr>
            <w:tcW w:w="13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 (GAAP)</w:t>
            </w: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3"/>
                <w:szCs w:val="23"/>
                <w:color w:val="auto"/>
                <w:vertAlign w:val="superscript"/>
              </w:rPr>
              <w:t>(1)</w:t>
            </w:r>
          </w:p>
        </w:tc>
        <w:tc>
          <w:tcPr>
            <w:tcW w:w="1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0.1 %</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Dilutive impact of acquisitions and foreign exchange</w:t>
            </w:r>
            <w:r>
              <w:rPr>
                <w:rFonts w:ascii="Arial" w:cs="Arial" w:eastAsia="Arial" w:hAnsi="Arial"/>
                <w:sz w:val="23"/>
                <w:szCs w:val="23"/>
                <w:color w:val="auto"/>
                <w:vertAlign w:val="superscript"/>
              </w:rPr>
              <w:t>(2)</w:t>
            </w:r>
          </w:p>
        </w:tc>
        <w:tc>
          <w:tcPr>
            <w:tcW w:w="1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Adjusted Operating income margin (Non-GAAP)</w:t>
            </w:r>
          </w:p>
        </w:tc>
        <w:tc>
          <w:tcPr>
            <w:tcW w:w="1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27.9 %</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26.3 %</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1.6 %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______________________</w:t>
      </w:r>
    </w:p>
    <w:p>
      <w:pPr>
        <w:spacing w:after="0" w:line="21" w:lineRule="exact"/>
        <w:rPr>
          <w:sz w:val="20"/>
          <w:szCs w:val="20"/>
          <w:color w:val="auto"/>
        </w:rPr>
      </w:pPr>
    </w:p>
    <w:p>
      <w:pPr>
        <w:ind w:left="420" w:hanging="250"/>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Acquisition-related costs are comprised of integration costs recorded in Cost of Sales.</w:t>
      </w:r>
    </w:p>
    <w:p>
      <w:pPr>
        <w:spacing w:after="0" w:line="56" w:lineRule="exact"/>
        <w:rPr>
          <w:rFonts w:ascii="Arial" w:cs="Arial" w:eastAsia="Arial" w:hAnsi="Arial"/>
          <w:sz w:val="16"/>
          <w:szCs w:val="16"/>
          <w:color w:val="auto"/>
        </w:rPr>
      </w:pPr>
    </w:p>
    <w:p>
      <w:pPr>
        <w:ind w:left="420" w:hanging="250"/>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Operating income margins adjusted for dilutive impact from acquisitions completed in the last twelve months and the foreign exchange impact.</w:t>
      </w:r>
    </w:p>
    <w:p>
      <w:pPr>
        <w:spacing w:after="0" w:line="59" w:lineRule="exact"/>
        <w:rPr>
          <w:rFonts w:ascii="Arial" w:cs="Arial" w:eastAsia="Arial" w:hAnsi="Arial"/>
          <w:sz w:val="16"/>
          <w:szCs w:val="16"/>
          <w:color w:val="auto"/>
        </w:rPr>
      </w:pPr>
    </w:p>
    <w:p>
      <w:pPr>
        <w:ind w:left="3900"/>
        <w:spacing w:after="0"/>
        <w:rPr>
          <w:rFonts w:ascii="Arial" w:cs="Arial" w:eastAsia="Arial" w:hAnsi="Arial"/>
          <w:sz w:val="16"/>
          <w:szCs w:val="16"/>
          <w:color w:val="auto"/>
        </w:rPr>
      </w:pPr>
      <w:r>
        <w:rPr>
          <w:rFonts w:ascii="Arial" w:cs="Arial" w:eastAsia="Arial" w:hAnsi="Arial"/>
          <w:sz w:val="16"/>
          <w:szCs w:val="16"/>
          <w:b w:val="1"/>
          <w:bCs w:val="1"/>
          <w:color w:val="auto"/>
        </w:rPr>
        <w:t>Use of Non-GAAP Financial Information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supplements its consolidated financial statements presented on a U.S. generally accepted accounting principles (“GAAP”) basis with certain non-GAAP financial information to provide investors with greater insight, increased transparency and allow for a more comprehensive understanding of the information used by management in its financial and operational decision-making. Reconciliation of non-GAAP measures to their most directly comparable GAAP measures are included in the accompanying financial tables. These non-GAAP financial measures should be considered in addition to, and not as a replacement for, or superior to, the comparable GAAP measure, and may not be comparable to similarly titled measures reported by other companies.</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non-GAAP financial measures referenced in this press release include adjusted operating income, adjusted operating margin, and adjusted earnings per share. These measures are adjusted to exclude items that management does not consider indicative of AMETEK’s ongoing operational performance, such as after-tax acquisition-related intangible amortization and one-time acquisition-related costs (including transaction related costs, purchase accounting adjustments, and integration related costs).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providing forward-looking guidance for quarterly and full-year GAAP and non-GAAP measures, the Company has not included adjustments, such as acquisition-related costs, whose timing and/or magnitude are contingent on future events.</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believes that these measures provide useful information to investors by reflecting additional ways of viewing AMETEK’s operations that, when reconciled to the comparable GAAP measure, helps our investors to better understand the long-term profitability trends of our business, and facilitates easier comparisons of our profitability to prior and future periods and to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-74930</wp:posOffset>
            </wp:positionV>
            <wp:extent cx="1414145"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351790"/>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944" w:right="339" w:bottom="1440" w:gutter="0" w:footer="0" w:header="0"/>
        </w:sectPr>
      </w:pPr>
    </w:p>
    <w:bookmarkStart w:id="9" w:name="page10"/>
    <w:bookmarkEnd w:id="9"/>
    <w:p>
      <w:pPr>
        <w:jc w:val="center"/>
        <w:ind w:right="320"/>
        <w:spacing w:after="0"/>
        <w:rPr>
          <w:sz w:val="20"/>
          <w:szCs w:val="20"/>
          <w:color w:val="auto"/>
        </w:rPr>
      </w:pPr>
      <w:r>
        <w:rPr>
          <w:rFonts w:ascii="Arial" w:cs="Arial" w:eastAsia="Arial" w:hAnsi="Arial"/>
          <w:sz w:val="18"/>
          <w:szCs w:val="18"/>
          <w:b w:val="1"/>
          <w:bCs w:val="1"/>
          <w:color w:val="auto"/>
        </w:rPr>
        <w:t>AMETEK, Inc.</w:t>
      </w:r>
    </w:p>
    <w:p>
      <w:pPr>
        <w:spacing w:after="0" w:line="4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Reconciliations of GAAP to Non-GAAP Financial Measures</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9"/>
          </w:tcPr>
          <w:p>
            <w:pPr>
              <w:jc w:val="right"/>
              <w:ind w:right="270"/>
              <w:spacing w:after="0"/>
              <w:rPr>
                <w:sz w:val="20"/>
                <w:szCs w:val="20"/>
                <w:color w:val="auto"/>
              </w:rPr>
            </w:pPr>
            <w:r>
              <w:rPr>
                <w:rFonts w:ascii="Arial" w:cs="Arial" w:eastAsia="Arial" w:hAnsi="Arial"/>
                <w:sz w:val="18"/>
                <w:szCs w:val="18"/>
                <w:b w:val="1"/>
                <w:bCs w:val="1"/>
                <w:color w:val="auto"/>
              </w:rPr>
              <w:t>Forecasted Diluted Earnings Per Share</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24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ind w:left="540"/>
              <w:spacing w:after="0"/>
              <w:rPr>
                <w:sz w:val="20"/>
                <w:szCs w:val="20"/>
                <w:color w:val="auto"/>
              </w:rPr>
            </w:pPr>
            <w:r>
              <w:rPr>
                <w:rFonts w:ascii="Arial" w:cs="Arial" w:eastAsia="Arial" w:hAnsi="Arial"/>
                <w:sz w:val="18"/>
                <w:szCs w:val="18"/>
                <w:b w:val="1"/>
                <w:bCs w:val="1"/>
                <w:color w:val="auto"/>
                <w:w w:val="96"/>
              </w:rPr>
              <w:t>Year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5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9"/>
              </w:rPr>
              <w:t>June 30, 2026</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December 31,2026</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Low</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4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(GAAP)</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1.73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1.77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7.03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6"/>
              </w:rPr>
              <w:t>7.23</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Pretax amortization of acquisition-related intangible assets</w:t>
            </w:r>
          </w:p>
        </w:tc>
        <w:tc>
          <w:tcPr>
            <w:tcW w:w="9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rPr>
              <w:t>0.30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rPr>
              <w:t>0.30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560"/>
              <w:spacing w:after="0"/>
              <w:rPr>
                <w:sz w:val="20"/>
                <w:szCs w:val="20"/>
                <w:color w:val="auto"/>
              </w:rPr>
            </w:pPr>
            <w:r>
              <w:rPr>
                <w:rFonts w:ascii="Arial" w:cs="Arial" w:eastAsia="Arial" w:hAnsi="Arial"/>
                <w:sz w:val="18"/>
                <w:szCs w:val="18"/>
                <w:b w:val="1"/>
                <w:bCs w:val="1"/>
                <w:color w:val="auto"/>
              </w:rPr>
              <w:t>1.21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center"/>
              <w:ind w:left="250"/>
              <w:spacing w:after="0"/>
              <w:rPr>
                <w:sz w:val="20"/>
                <w:szCs w:val="20"/>
                <w:color w:val="auto"/>
              </w:rPr>
            </w:pPr>
            <w:r>
              <w:rPr>
                <w:rFonts w:ascii="Arial" w:cs="Arial" w:eastAsia="Arial" w:hAnsi="Arial"/>
                <w:sz w:val="18"/>
                <w:szCs w:val="18"/>
                <w:b w:val="1"/>
                <w:bCs w:val="1"/>
                <w:color w:val="auto"/>
                <w:w w:val="96"/>
              </w:rPr>
              <w:t>1.21</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Income tax benefit on amortization of acquisition-related</w:t>
            </w:r>
          </w:p>
        </w:tc>
        <w:tc>
          <w:tcPr>
            <w:tcW w:w="9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(0.07)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(0.07)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(0.30)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ind w:left="230"/>
              <w:spacing w:after="0"/>
              <w:rPr>
                <w:sz w:val="20"/>
                <w:szCs w:val="20"/>
                <w:color w:val="auto"/>
              </w:rPr>
            </w:pPr>
            <w:r>
              <w:rPr>
                <w:rFonts w:ascii="Arial" w:cs="Arial" w:eastAsia="Arial" w:hAnsi="Arial"/>
                <w:sz w:val="18"/>
                <w:szCs w:val="18"/>
                <w:b w:val="1"/>
                <w:bCs w:val="1"/>
                <w:color w:val="auto"/>
              </w:rPr>
              <w:t>(0.30)</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w:t>
            </w:r>
          </w:p>
        </w:tc>
        <w:tc>
          <w:tcPr>
            <w:tcW w:w="9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Adjusted Diluted earnings per share (Non-GAAP)</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1.96</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2.00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7.94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6"/>
              </w:rPr>
              <w:t>8.14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supplements its consolidated financial statements presented on a U.S. generally accepted accounting principles (“GAAP”) basis with certain non-GAAP financial information to provide investors with greater insight, increased transparency and allow for a more comprehensive understanding of the information used by management in its financial and operational decision-making. Reconciliation of non-GAAP measures to their most directly comparable GAAP measures are included in the accompanying financial tables. These non-GAAP financial measures should be considered in addition to, and not as a replacement for, or superior to, the comparable GAAP measure, and may not be comparable to similarly titled measures reported by other companies.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non-GAAP financial measures referenced in this press release include adjusted operating income, adjusted operating margin, and adjusted earnings per share. These measures are adjusted to exclude items that management does not consider indicative of AMETEK’s ongoing operational performance, such as after-tax acquisition-related intangible amortization and one-time acquisition-related costs (including transaction related costs, purchase accounting adjustments, and integration related costs).</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providing forward-looking guidance for quarterly and full-year GAAP and non-GAAP measures, the Company has not included adjustments, such as acquisition-related costs, whose timing and/or magnitude are contingent on future events.</w:t>
      </w:r>
    </w:p>
    <w:p>
      <w:pPr>
        <w:spacing w:after="0" w:line="12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believes that these measures provide useful information to investors by reflecting additional ways of viewing AMETEK’s operations that, when reconciled to the comparable GAAP measure, helps our investors to better understand the long-term profitability trends of our business, and facilitates easier comparisons of our profitability to prior and future periods and to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-76200</wp:posOffset>
            </wp:positionV>
            <wp:extent cx="1414145"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3511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809"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433705</wp:posOffset>
            </wp:positionV>
            <wp:extent cx="6129655" cy="1208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965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 xml:space="preserve">AMETEK </w:t>
      </w:r>
      <w:r>
        <w:rPr>
          <w:rFonts w:ascii="Arial" w:cs="Arial" w:eastAsia="Arial" w:hAnsi="Arial"/>
          <w:sz w:val="21"/>
          <w:szCs w:val="21"/>
          <w:b w:val="1"/>
          <w:bCs w:val="1"/>
          <w:color w:val="auto"/>
        </w:rPr>
        <w:t>Announces Agreement to Acquire First Aviation Services</w:t>
      </w:r>
    </w:p>
    <w:p>
      <w:pPr>
        <w:spacing w:after="0" w:line="224" w:lineRule="exact"/>
        <w:rPr>
          <w:sz w:val="20"/>
          <w:szCs w:val="20"/>
          <w:color w:val="auto"/>
        </w:rPr>
      </w:pPr>
    </w:p>
    <w:p>
      <w:pPr>
        <w:ind w:right="360"/>
        <w:spacing w:after="0" w:line="255" w:lineRule="auto"/>
        <w:rPr>
          <w:sz w:val="20"/>
          <w:szCs w:val="20"/>
          <w:color w:val="auto"/>
        </w:rPr>
      </w:pPr>
      <w:r>
        <w:rPr>
          <w:rFonts w:ascii="Arial" w:cs="Arial" w:eastAsia="Arial" w:hAnsi="Arial"/>
          <w:sz w:val="21"/>
          <w:szCs w:val="21"/>
          <w:color w:val="auto"/>
        </w:rPr>
        <w:t>Berwyn, Pa., April 30, 2026 - AMETEK, Inc. (NYSE: AME) today announced that it has entered into a definitive agreement to acquire First Aviation Services, a leading provider of highly engineered, mission-critical defense and aviation maintenance, repair and overhaul (MRO) services and a manufacturer of related proprietary components.</w:t>
      </w:r>
    </w:p>
    <w:p>
      <w:pPr>
        <w:spacing w:after="0" w:line="162"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First Aviation’s MRO capabilities include advanced electronics, rotor blades and assemblies, propellers, landing gear, and flight controls. In addition, First Aviation specializes in designing, engineering, and manufacturing critical parts across a wide range of defense and aviation platforms.</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“First Aviation is a strong strategic fit with our MRO platform, providing attractive market expansion opportunities and broadening the scope of our component MRO services," said David A. Zapico, AMETEK Chairman and Chief Executive Officer. “Their proprietary products and services further broaden our differentiated products serving mission critical applications. We look forward to leveraging our respective operating, engineering and distribution strengths to continue to grow our combined capabilities.”</w:t>
      </w:r>
    </w:p>
    <w:p>
      <w:pPr>
        <w:spacing w:after="0" w:line="177" w:lineRule="exact"/>
        <w:rPr>
          <w:sz w:val="20"/>
          <w:szCs w:val="20"/>
          <w:color w:val="auto"/>
        </w:rPr>
      </w:pPr>
    </w:p>
    <w:p>
      <w:pPr>
        <w:ind w:right="760"/>
        <w:spacing w:after="0" w:line="239" w:lineRule="auto"/>
        <w:rPr>
          <w:sz w:val="20"/>
          <w:szCs w:val="20"/>
          <w:color w:val="auto"/>
        </w:rPr>
      </w:pPr>
      <w:r>
        <w:rPr>
          <w:rFonts w:ascii="Arial" w:cs="Arial" w:eastAsia="Arial" w:hAnsi="Arial"/>
          <w:sz w:val="22"/>
          <w:szCs w:val="22"/>
          <w:color w:val="auto"/>
        </w:rPr>
        <w:t>First Aviation Services has annual sales of approximately $80 million and operates six centers of excellence throughout the U.S. The transaction is subject to customary closing conditions, including applicable regulatory approvals.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Profile</w:t>
      </w:r>
    </w:p>
    <w:p>
      <w:pPr>
        <w:spacing w:after="0" w:line="235" w:lineRule="exact"/>
        <w:rPr>
          <w:sz w:val="20"/>
          <w:szCs w:val="20"/>
          <w:color w:val="auto"/>
        </w:rPr>
      </w:pPr>
    </w:p>
    <w:p>
      <w:pPr>
        <w:ind w:right="200"/>
        <w:spacing w:after="0" w:line="260" w:lineRule="auto"/>
        <w:rPr>
          <w:sz w:val="20"/>
          <w:szCs w:val="20"/>
          <w:color w:val="auto"/>
        </w:rPr>
      </w:pPr>
      <w:r>
        <w:rPr>
          <w:rFonts w:ascii="Arial" w:cs="Arial" w:eastAsia="Arial" w:hAnsi="Arial"/>
          <w:sz w:val="22"/>
          <w:szCs w:val="22"/>
          <w:color w:val="auto"/>
        </w:rPr>
        <w:t>AMETEK (NYSE: AME) is a leading global provider of industrial technology solutions serving a diverse set of attractive niche markets with annual sales of approximately $7.5 billion. The AMETEK Growth Model integrates the Four Growth Strategies - Operational Excellence, Technology Innovation, Global and Market Expansion, and Strategic Acquisitions - with a disciplined focus on cash generation and capital deployment. AMETEK's objective is double-digit percentage growth in earnings per share over the business cycle and a superior return on total capital. Founded in 1930, AMETEK has been listed on the NYSE for over 95 years and is a component of the S&amp;P 500. For more information, visit www.ametek.com.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Kevin Coleman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Treasurer</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kevin.coleman@ametek.com</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Phone: 610-889-5247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104775</wp:posOffset>
            </wp:positionV>
            <wp:extent cx="123444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30861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2026-04-30T11:02:34Z</dcterms:created>
  <dcterms:modified xsi:type="dcterms:W3CDTF">2026-04-30T11:02:34Z</dcterms:modified>
</cp:coreProperties>
</file>